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2BC" w:rsidRPr="00C1317B" w:rsidRDefault="00C1317B" w:rsidP="00C364F4">
      <w:pPr>
        <w:pStyle w:val="4"/>
        <w:spacing w:before="240"/>
        <w:rPr>
          <w:rFonts w:cs="Arial"/>
          <w:szCs w:val="22"/>
          <w:lang w:val="en-US"/>
        </w:rPr>
      </w:pPr>
      <w:r w:rsidRPr="00BE1386">
        <w:rPr>
          <w:rFonts w:cs="Arial"/>
          <w:i w:val="0"/>
          <w:sz w:val="23"/>
          <w:szCs w:val="23"/>
        </w:rPr>
        <w:t>EDITORIAL</w:t>
      </w:r>
      <w:r w:rsidRPr="00BE1386">
        <w:rPr>
          <w:rFonts w:cs="Arial"/>
          <w:i w:val="0"/>
          <w:sz w:val="23"/>
          <w:szCs w:val="23"/>
          <w:lang w:val="en-US"/>
        </w:rPr>
        <w:t xml:space="preserve"> BOARD:</w:t>
      </w:r>
      <w:r w:rsidR="001422BC" w:rsidRPr="00C1317B">
        <w:rPr>
          <w:rFonts w:cs="Arial"/>
          <w:sz w:val="23"/>
          <w:szCs w:val="23"/>
          <w:lang w:val="en-US"/>
        </w:rPr>
        <w:t xml:space="preserve"> </w:t>
      </w:r>
      <w:r w:rsidR="001422BC" w:rsidRPr="00C1317B">
        <w:rPr>
          <w:rFonts w:cs="Arial"/>
          <w:sz w:val="23"/>
          <w:szCs w:val="23"/>
          <w:lang w:val="en-US"/>
        </w:rPr>
        <w:br/>
      </w:r>
    </w:p>
    <w:p w:rsidR="001422BC" w:rsidRPr="00C1317B" w:rsidRDefault="00C1317B" w:rsidP="00C364F4">
      <w:pPr>
        <w:pStyle w:val="1"/>
        <w:keepNext w:val="0"/>
        <w:spacing w:line="280" w:lineRule="exact"/>
        <w:ind w:left="709"/>
        <w:jc w:val="both"/>
        <w:rPr>
          <w:rFonts w:cs="Arial"/>
          <w:sz w:val="22"/>
          <w:szCs w:val="22"/>
          <w:lang w:val="en-US"/>
        </w:rPr>
      </w:pPr>
      <w:r w:rsidRPr="007B3BDA">
        <w:rPr>
          <w:sz w:val="22"/>
          <w:szCs w:val="22"/>
          <w:lang w:val="en-US"/>
        </w:rPr>
        <w:t>I</w:t>
      </w:r>
      <w:r w:rsidR="00A11988" w:rsidRPr="007B3BDA">
        <w:rPr>
          <w:sz w:val="22"/>
          <w:szCs w:val="22"/>
          <w:lang w:val="en-US"/>
        </w:rPr>
        <w:t>nna</w:t>
      </w:r>
      <w:r w:rsidR="00A11988">
        <w:rPr>
          <w:sz w:val="22"/>
          <w:szCs w:val="22"/>
          <w:lang w:val="en-US"/>
        </w:rPr>
        <w:t xml:space="preserve"> </w:t>
      </w:r>
      <w:proofErr w:type="spellStart"/>
      <w:r w:rsidRPr="00C1317B">
        <w:rPr>
          <w:sz w:val="22"/>
          <w:szCs w:val="22"/>
          <w:lang w:val="en-US"/>
        </w:rPr>
        <w:t>Medvedeva</w:t>
      </w:r>
      <w:proofErr w:type="spellEnd"/>
      <w:r w:rsidRPr="00C1317B">
        <w:rPr>
          <w:sz w:val="22"/>
          <w:szCs w:val="22"/>
          <w:lang w:val="en-US"/>
        </w:rPr>
        <w:t xml:space="preserve"> – </w:t>
      </w:r>
      <w:r w:rsidRPr="003A1AEC">
        <w:rPr>
          <w:sz w:val="22"/>
          <w:szCs w:val="22"/>
          <w:lang w:val="en-US"/>
        </w:rPr>
        <w:t>Chair</w:t>
      </w:r>
      <w:r w:rsidR="00A11988" w:rsidRPr="003A1AEC">
        <w:rPr>
          <w:sz w:val="22"/>
          <w:szCs w:val="22"/>
          <w:lang w:val="en-US"/>
        </w:rPr>
        <w:t xml:space="preserve"> </w:t>
      </w:r>
      <w:r w:rsidR="00A11988" w:rsidRPr="007B3BDA">
        <w:rPr>
          <w:sz w:val="22"/>
          <w:szCs w:val="22"/>
          <w:lang w:val="en-US"/>
        </w:rPr>
        <w:t>of the Editorial Board</w:t>
      </w:r>
    </w:p>
    <w:p w:rsidR="001422BC" w:rsidRPr="00C1317B" w:rsidRDefault="001422BC" w:rsidP="00C364F4">
      <w:pPr>
        <w:ind w:left="709"/>
        <w:jc w:val="both"/>
        <w:rPr>
          <w:rFonts w:ascii="Arial" w:hAnsi="Arial" w:cs="Arial"/>
          <w:szCs w:val="22"/>
          <w:lang w:val="en-US"/>
        </w:rPr>
      </w:pPr>
    </w:p>
    <w:p w:rsidR="001422BC" w:rsidRPr="00862897" w:rsidRDefault="00773EFC" w:rsidP="00C364F4">
      <w:pPr>
        <w:spacing w:line="280" w:lineRule="exact"/>
        <w:ind w:left="709"/>
        <w:jc w:val="both"/>
        <w:rPr>
          <w:rFonts w:ascii="Arial" w:hAnsi="Arial" w:cs="Arial"/>
          <w:szCs w:val="22"/>
          <w:lang w:val="en-US"/>
        </w:rPr>
      </w:pPr>
      <w:proofErr w:type="spellStart"/>
      <w:r w:rsidRPr="00862897">
        <w:rPr>
          <w:rFonts w:ascii="Arial" w:hAnsi="Arial" w:cs="Arial"/>
          <w:szCs w:val="22"/>
          <w:lang w:val="en-US"/>
        </w:rPr>
        <w:t>Tsimafei</w:t>
      </w:r>
      <w:proofErr w:type="spellEnd"/>
      <w:r w:rsidR="002574F8"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="002574F8" w:rsidRPr="00862897">
        <w:rPr>
          <w:rFonts w:ascii="Arial" w:hAnsi="Arial" w:cs="Arial"/>
          <w:szCs w:val="22"/>
          <w:lang w:val="en-US"/>
        </w:rPr>
        <w:t>Zhyharau</w:t>
      </w:r>
      <w:proofErr w:type="spellEnd"/>
      <w:r w:rsidR="00A04EF0" w:rsidRPr="00862897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862897">
        <w:rPr>
          <w:rFonts w:ascii="Arial" w:hAnsi="Arial" w:cs="Arial"/>
          <w:szCs w:val="22"/>
          <w:lang w:val="en-US"/>
        </w:rPr>
        <w:t>Zhanna</w:t>
      </w:r>
      <w:proofErr w:type="spellEnd"/>
      <w:r w:rsidR="00C1317B"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="00C1317B" w:rsidRPr="00862897">
        <w:rPr>
          <w:rFonts w:ascii="Arial" w:hAnsi="Arial" w:cs="Arial"/>
          <w:szCs w:val="22"/>
          <w:lang w:val="en-US"/>
        </w:rPr>
        <w:t>Vasilevskaya</w:t>
      </w:r>
      <w:proofErr w:type="spellEnd"/>
      <w:r w:rsidR="001422BC" w:rsidRPr="00862897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="00C1317B" w:rsidRPr="00862897">
        <w:rPr>
          <w:rFonts w:ascii="Arial" w:hAnsi="Arial" w:cs="Arial"/>
          <w:szCs w:val="22"/>
          <w:lang w:val="en-US"/>
        </w:rPr>
        <w:t>N</w:t>
      </w:r>
      <w:r w:rsidRPr="00862897">
        <w:rPr>
          <w:rFonts w:ascii="Arial" w:hAnsi="Arial" w:cs="Arial"/>
          <w:szCs w:val="22"/>
          <w:lang w:val="en-US"/>
        </w:rPr>
        <w:t>atallia</w:t>
      </w:r>
      <w:proofErr w:type="spellEnd"/>
      <w:r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="00C1317B" w:rsidRPr="00862897">
        <w:rPr>
          <w:rFonts w:ascii="Arial" w:hAnsi="Arial" w:cs="Arial"/>
          <w:szCs w:val="22"/>
          <w:lang w:val="en-US"/>
        </w:rPr>
        <w:t>Tarasiuk</w:t>
      </w:r>
      <w:proofErr w:type="spellEnd"/>
      <w:r w:rsidR="001422BC" w:rsidRPr="00862897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862897">
        <w:rPr>
          <w:rFonts w:ascii="Arial" w:hAnsi="Arial" w:cs="Arial"/>
          <w:szCs w:val="22"/>
          <w:lang w:val="en-US"/>
        </w:rPr>
        <w:t>Aliaxei</w:t>
      </w:r>
      <w:proofErr w:type="spellEnd"/>
      <w:r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862897">
        <w:rPr>
          <w:rFonts w:ascii="Arial" w:hAnsi="Arial" w:cs="Arial"/>
          <w:szCs w:val="22"/>
          <w:lang w:val="en-US"/>
        </w:rPr>
        <w:t>Yarkavets</w:t>
      </w:r>
      <w:proofErr w:type="spellEnd"/>
      <w:r w:rsidRPr="00862897">
        <w:rPr>
          <w:rFonts w:ascii="Arial" w:hAnsi="Arial" w:cs="Arial"/>
          <w:szCs w:val="22"/>
          <w:lang w:val="en-US"/>
        </w:rPr>
        <w:t>,</w:t>
      </w:r>
    </w:p>
    <w:p w:rsidR="001422BC" w:rsidRPr="00862897" w:rsidRDefault="00773EFC" w:rsidP="00C364F4">
      <w:pPr>
        <w:spacing w:line="280" w:lineRule="exact"/>
        <w:ind w:left="709"/>
        <w:jc w:val="both"/>
        <w:rPr>
          <w:rFonts w:ascii="Arial" w:hAnsi="Arial" w:cs="Arial"/>
          <w:szCs w:val="22"/>
          <w:lang w:val="en-US"/>
        </w:rPr>
      </w:pPr>
      <w:proofErr w:type="spellStart"/>
      <w:r w:rsidRPr="00862897">
        <w:rPr>
          <w:rFonts w:ascii="Arial" w:hAnsi="Arial" w:cs="Arial"/>
          <w:szCs w:val="22"/>
          <w:lang w:val="en-US"/>
        </w:rPr>
        <w:t>Aksana</w:t>
      </w:r>
      <w:proofErr w:type="spellEnd"/>
      <w:r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862897">
        <w:rPr>
          <w:rFonts w:ascii="Arial" w:hAnsi="Arial" w:cs="Arial"/>
          <w:szCs w:val="22"/>
          <w:lang w:val="en-US"/>
        </w:rPr>
        <w:t>Liatko</w:t>
      </w:r>
      <w:proofErr w:type="spellEnd"/>
      <w:r w:rsidR="002574F8" w:rsidRPr="00862897">
        <w:rPr>
          <w:rFonts w:ascii="Arial" w:hAnsi="Arial" w:cs="Arial"/>
          <w:szCs w:val="22"/>
          <w:lang w:val="en-US"/>
        </w:rPr>
        <w:t xml:space="preserve">, </w:t>
      </w:r>
      <w:r w:rsidRPr="00862897">
        <w:rPr>
          <w:rFonts w:ascii="Arial" w:hAnsi="Arial" w:cs="Arial"/>
          <w:bCs/>
          <w:szCs w:val="22"/>
          <w:lang w:val="en-GB"/>
        </w:rPr>
        <w:t xml:space="preserve">Elena </w:t>
      </w:r>
      <w:proofErr w:type="spellStart"/>
      <w:r w:rsidRPr="00862897">
        <w:rPr>
          <w:rFonts w:ascii="Arial" w:hAnsi="Arial" w:cs="Arial"/>
          <w:bCs/>
          <w:szCs w:val="22"/>
          <w:lang w:val="en-US"/>
        </w:rPr>
        <w:t>Kondratenko</w:t>
      </w:r>
      <w:proofErr w:type="spellEnd"/>
      <w:r w:rsidRPr="00862897">
        <w:rPr>
          <w:rFonts w:ascii="Arial" w:hAnsi="Arial" w:cs="Arial"/>
          <w:bCs/>
          <w:szCs w:val="22"/>
          <w:lang w:val="en-US"/>
        </w:rPr>
        <w:t xml:space="preserve">, </w:t>
      </w:r>
      <w:r w:rsidRPr="00862897">
        <w:rPr>
          <w:rFonts w:ascii="Arial" w:hAnsi="Arial" w:cs="Arial"/>
          <w:bCs/>
          <w:szCs w:val="22"/>
          <w:lang w:val="en-GB"/>
        </w:rPr>
        <w:t>Elena</w:t>
      </w:r>
      <w:r w:rsidR="00C1317B" w:rsidRPr="00862897">
        <w:rPr>
          <w:rFonts w:ascii="Arial" w:hAnsi="Arial" w:cs="Arial"/>
          <w:bCs/>
          <w:szCs w:val="22"/>
          <w:lang w:val="en-US"/>
        </w:rPr>
        <w:t xml:space="preserve"> </w:t>
      </w:r>
      <w:proofErr w:type="spellStart"/>
      <w:r w:rsidR="00C1317B" w:rsidRPr="00862897">
        <w:rPr>
          <w:rFonts w:ascii="Arial" w:hAnsi="Arial" w:cs="Arial"/>
          <w:bCs/>
          <w:szCs w:val="22"/>
          <w:lang w:val="en-GB"/>
        </w:rPr>
        <w:t>Palkovskaya</w:t>
      </w:r>
      <w:proofErr w:type="spellEnd"/>
      <w:r w:rsidR="001422BC" w:rsidRPr="00862897">
        <w:rPr>
          <w:rFonts w:ascii="Arial" w:hAnsi="Arial" w:cs="Arial"/>
          <w:szCs w:val="22"/>
          <w:lang w:val="en-US"/>
        </w:rPr>
        <w:t xml:space="preserve">, </w:t>
      </w:r>
      <w:proofErr w:type="spellStart"/>
      <w:r w:rsidRPr="00862897">
        <w:rPr>
          <w:rFonts w:ascii="Arial" w:hAnsi="Arial" w:cs="Arial"/>
          <w:szCs w:val="22"/>
          <w:lang w:val="en-US"/>
        </w:rPr>
        <w:t>Ala</w:t>
      </w:r>
      <w:proofErr w:type="spellEnd"/>
      <w:r w:rsidRPr="00862897">
        <w:rPr>
          <w:rFonts w:ascii="Arial" w:hAnsi="Arial" w:cs="Arial"/>
          <w:szCs w:val="22"/>
          <w:lang w:val="en-US"/>
        </w:rPr>
        <w:t xml:space="preserve"> </w:t>
      </w:r>
      <w:proofErr w:type="spellStart"/>
      <w:r w:rsidRPr="00862897">
        <w:rPr>
          <w:rFonts w:ascii="Arial" w:hAnsi="Arial" w:cs="Arial"/>
          <w:szCs w:val="22"/>
          <w:lang w:val="en-US"/>
        </w:rPr>
        <w:t>Zhar</w:t>
      </w:r>
      <w:r w:rsidR="001468F6" w:rsidRPr="00862897">
        <w:rPr>
          <w:rFonts w:ascii="Arial" w:hAnsi="Arial" w:cs="Arial"/>
          <w:szCs w:val="22"/>
          <w:lang w:val="en-US"/>
        </w:rPr>
        <w:t>y</w:t>
      </w:r>
      <w:r w:rsidRPr="00862897">
        <w:rPr>
          <w:rFonts w:ascii="Arial" w:hAnsi="Arial" w:cs="Arial"/>
          <w:szCs w:val="22"/>
          <w:lang w:val="en-US"/>
        </w:rPr>
        <w:t>k</w:t>
      </w:r>
      <w:r w:rsidR="001468F6" w:rsidRPr="00862897">
        <w:rPr>
          <w:rFonts w:ascii="Arial" w:hAnsi="Arial" w:cs="Arial"/>
          <w:szCs w:val="22"/>
          <w:lang w:val="en-US"/>
        </w:rPr>
        <w:t>a</w:t>
      </w:r>
      <w:r w:rsidRPr="00862897">
        <w:rPr>
          <w:rFonts w:ascii="Arial" w:hAnsi="Arial" w:cs="Arial"/>
          <w:szCs w:val="22"/>
          <w:lang w:val="en-US"/>
        </w:rPr>
        <w:t>va</w:t>
      </w:r>
      <w:proofErr w:type="spellEnd"/>
      <w:r w:rsidR="00F2677B" w:rsidRPr="00862897">
        <w:rPr>
          <w:rFonts w:ascii="Arial" w:hAnsi="Arial" w:cs="Arial"/>
          <w:color w:val="FF0000"/>
          <w:szCs w:val="22"/>
          <w:lang w:val="be-BY"/>
        </w:rPr>
        <w:t xml:space="preserve"> </w:t>
      </w:r>
    </w:p>
    <w:p w:rsidR="001422BC" w:rsidRPr="00862897" w:rsidRDefault="001422BC" w:rsidP="001422BC">
      <w:pPr>
        <w:spacing w:line="280" w:lineRule="exact"/>
        <w:outlineLvl w:val="0"/>
        <w:rPr>
          <w:rFonts w:ascii="Arial" w:hAnsi="Arial" w:cs="Arial"/>
          <w:szCs w:val="22"/>
          <w:lang w:val="en-US"/>
        </w:rPr>
      </w:pPr>
    </w:p>
    <w:p w:rsidR="000B3721" w:rsidRPr="00862897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 xml:space="preserve">The </w:t>
      </w:r>
      <w:r w:rsidR="004643DE" w:rsidRPr="00862897">
        <w:rPr>
          <w:rFonts w:cs="Arial"/>
          <w:spacing w:val="0"/>
          <w:sz w:val="22"/>
          <w:szCs w:val="22"/>
          <w:lang w:val="en-US"/>
        </w:rPr>
        <w:t>booklet contains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information on the state of the environment, availability and use of natural resources, and environmental expenditure</w:t>
      </w:r>
      <w:r w:rsidR="00BD3EAF" w:rsidRPr="00862897">
        <w:rPr>
          <w:rFonts w:cs="Arial"/>
          <w:spacing w:val="0"/>
          <w:sz w:val="22"/>
          <w:szCs w:val="22"/>
          <w:lang w:val="en-US"/>
        </w:rPr>
        <w:t xml:space="preserve">. </w:t>
      </w:r>
    </w:p>
    <w:p w:rsidR="00BD3EAF" w:rsidRPr="00862897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>The publication presents green growth indicators and selected environmental indicators of the National list of Sustainable Development Goal indicators</w:t>
      </w:r>
      <w:r w:rsidR="00BD3EAF" w:rsidRPr="00862897">
        <w:rPr>
          <w:rFonts w:cs="Arial"/>
          <w:spacing w:val="0"/>
          <w:sz w:val="22"/>
          <w:szCs w:val="22"/>
          <w:lang w:val="en-US"/>
        </w:rPr>
        <w:t xml:space="preserve">. </w:t>
      </w:r>
    </w:p>
    <w:p w:rsidR="00BD3EAF" w:rsidRPr="00862897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 xml:space="preserve">The information </w:t>
      </w:r>
      <w:r w:rsidR="00191DEA" w:rsidRPr="00862897">
        <w:rPr>
          <w:rFonts w:cs="Arial"/>
          <w:spacing w:val="0"/>
          <w:sz w:val="22"/>
          <w:szCs w:val="22"/>
          <w:lang w:val="en-US"/>
        </w:rPr>
        <w:t>by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economic activity is given in accordance with the National Classifi</w:t>
      </w:r>
      <w:r w:rsidR="00A80907" w:rsidRPr="00862897">
        <w:rPr>
          <w:rFonts w:cs="Arial"/>
          <w:spacing w:val="0"/>
          <w:sz w:val="22"/>
          <w:szCs w:val="22"/>
          <w:lang w:val="en-US"/>
        </w:rPr>
        <w:t>cation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of the Republic of Belarus OK</w:t>
      </w:r>
      <w:r w:rsidR="006E5520" w:rsidRPr="00862897">
        <w:rPr>
          <w:rFonts w:cs="Arial"/>
          <w:spacing w:val="0"/>
          <w:sz w:val="22"/>
          <w:szCs w:val="22"/>
        </w:rPr>
        <w:t>РБ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005-2011 "</w:t>
      </w:r>
      <w:r w:rsidR="00A80907" w:rsidRPr="00862897">
        <w:rPr>
          <w:rFonts w:cs="Arial"/>
          <w:spacing w:val="0"/>
          <w:sz w:val="22"/>
          <w:szCs w:val="22"/>
          <w:lang w:val="en-US"/>
        </w:rPr>
        <w:t>Kinds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of economic activity”</w:t>
      </w:r>
      <w:r w:rsidR="00BD3EAF" w:rsidRPr="00862897">
        <w:rPr>
          <w:rFonts w:cs="Arial"/>
          <w:spacing w:val="0"/>
          <w:sz w:val="22"/>
          <w:szCs w:val="22"/>
          <w:lang w:val="en-US"/>
        </w:rPr>
        <w:t xml:space="preserve">. </w:t>
      </w:r>
      <w:r w:rsidR="006E5520" w:rsidRPr="00862897">
        <w:rPr>
          <w:rFonts w:cs="Arial"/>
          <w:spacing w:val="0"/>
          <w:sz w:val="22"/>
          <w:szCs w:val="22"/>
          <w:lang w:val="en-US"/>
        </w:rPr>
        <w:t>D</w:t>
      </w:r>
      <w:r w:rsidR="007B3BDA" w:rsidRPr="00862897">
        <w:rPr>
          <w:rFonts w:cs="Arial"/>
          <w:spacing w:val="0"/>
          <w:sz w:val="22"/>
          <w:szCs w:val="22"/>
          <w:lang w:val="en-US"/>
        </w:rPr>
        <w:t xml:space="preserve">ata </w:t>
      </w:r>
      <w:r w:rsidR="006E5520" w:rsidRPr="00862897">
        <w:rPr>
          <w:rFonts w:cs="Arial"/>
          <w:spacing w:val="0"/>
          <w:sz w:val="22"/>
          <w:szCs w:val="22"/>
          <w:lang w:val="en-US"/>
        </w:rPr>
        <w:t xml:space="preserve">by </w:t>
      </w:r>
      <w:r w:rsidR="00D3068A" w:rsidRPr="00862897">
        <w:rPr>
          <w:rFonts w:cs="Arial"/>
          <w:spacing w:val="0"/>
          <w:sz w:val="22"/>
          <w:szCs w:val="22"/>
          <w:lang w:val="en-US"/>
        </w:rPr>
        <w:t>environmental protection activit</w:t>
      </w:r>
      <w:r w:rsidR="006E5520" w:rsidRPr="00862897">
        <w:rPr>
          <w:rFonts w:cs="Arial"/>
          <w:spacing w:val="0"/>
          <w:sz w:val="22"/>
          <w:szCs w:val="22"/>
          <w:lang w:val="en-US"/>
        </w:rPr>
        <w:t>y</w:t>
      </w:r>
      <w:r w:rsidR="003A1AEC" w:rsidRPr="00862897">
        <w:rPr>
          <w:rFonts w:cs="Arial"/>
          <w:spacing w:val="0"/>
          <w:sz w:val="22"/>
          <w:szCs w:val="22"/>
          <w:lang w:val="en-US"/>
        </w:rPr>
        <w:t xml:space="preserve"> </w:t>
      </w:r>
      <w:r w:rsidR="00D33DB4" w:rsidRPr="00862897">
        <w:rPr>
          <w:rFonts w:cs="Arial"/>
          <w:spacing w:val="0"/>
          <w:sz w:val="22"/>
          <w:szCs w:val="22"/>
          <w:lang w:val="en-US"/>
        </w:rPr>
        <w:t>are</w:t>
      </w:r>
      <w:r w:rsidR="00D3068A" w:rsidRPr="00862897">
        <w:rPr>
          <w:rFonts w:cs="Arial"/>
          <w:spacing w:val="0"/>
          <w:sz w:val="22"/>
          <w:szCs w:val="22"/>
          <w:lang w:val="en-US"/>
        </w:rPr>
        <w:t xml:space="preserve"> </w:t>
      </w:r>
      <w:r w:rsidR="00D33DB4" w:rsidRPr="00862897">
        <w:rPr>
          <w:rFonts w:cs="Arial"/>
          <w:spacing w:val="0"/>
          <w:sz w:val="22"/>
          <w:szCs w:val="22"/>
          <w:lang w:val="en-US"/>
        </w:rPr>
        <w:t>generated</w:t>
      </w:r>
      <w:r w:rsidR="003A1AEC" w:rsidRPr="00862897">
        <w:rPr>
          <w:rFonts w:cs="Arial"/>
          <w:spacing w:val="0"/>
          <w:sz w:val="22"/>
          <w:szCs w:val="22"/>
          <w:lang w:val="en-US"/>
        </w:rPr>
        <w:t xml:space="preserve"> </w:t>
      </w:r>
      <w:r w:rsidR="007B3BDA" w:rsidRPr="00862897">
        <w:rPr>
          <w:rFonts w:cs="Arial"/>
          <w:spacing w:val="0"/>
          <w:sz w:val="22"/>
          <w:szCs w:val="22"/>
          <w:lang w:val="en-US"/>
        </w:rPr>
        <w:t>in accordance with the</w:t>
      </w:r>
      <w:r w:rsidR="003A1AEC" w:rsidRPr="00862897">
        <w:rPr>
          <w:rFonts w:cs="Arial"/>
          <w:spacing w:val="0"/>
          <w:sz w:val="22"/>
          <w:szCs w:val="22"/>
          <w:lang w:val="en-US"/>
        </w:rPr>
        <w:t xml:space="preserve"> </w:t>
      </w:r>
      <w:r w:rsidR="007B3BDA" w:rsidRPr="00862897">
        <w:rPr>
          <w:rFonts w:cs="Arial"/>
          <w:spacing w:val="0"/>
          <w:sz w:val="22"/>
          <w:szCs w:val="22"/>
          <w:lang w:val="en-US"/>
        </w:rPr>
        <w:t>statistical classification</w:t>
      </w:r>
      <w:r w:rsidR="003A1AEC" w:rsidRPr="00862897">
        <w:rPr>
          <w:rFonts w:cs="Arial"/>
          <w:spacing w:val="0"/>
          <w:sz w:val="22"/>
          <w:szCs w:val="22"/>
          <w:lang w:val="en-US"/>
        </w:rPr>
        <w:t xml:space="preserve"> </w:t>
      </w:r>
      <w:r w:rsidR="006E5520" w:rsidRPr="00862897">
        <w:rPr>
          <w:rFonts w:cs="Arial"/>
          <w:spacing w:val="0"/>
          <w:sz w:val="22"/>
          <w:szCs w:val="22"/>
        </w:rPr>
        <w:t>СК</w:t>
      </w:r>
      <w:r w:rsidR="003A1AEC" w:rsidRPr="00862897">
        <w:rPr>
          <w:rFonts w:cs="Arial"/>
          <w:spacing w:val="0"/>
          <w:sz w:val="22"/>
          <w:szCs w:val="22"/>
          <w:lang w:val="en-US"/>
        </w:rPr>
        <w:t xml:space="preserve"> 55.011-2021 «</w:t>
      </w:r>
      <w:r w:rsidR="007B3BDA" w:rsidRPr="00862897">
        <w:rPr>
          <w:rFonts w:cs="Arial"/>
          <w:spacing w:val="0"/>
          <w:sz w:val="22"/>
          <w:szCs w:val="22"/>
          <w:lang w:val="en-US"/>
        </w:rPr>
        <w:t>Environmental protection activities</w:t>
      </w:r>
      <w:r w:rsidR="003A1AEC" w:rsidRPr="00862897">
        <w:rPr>
          <w:rFonts w:cs="Arial"/>
          <w:spacing w:val="0"/>
          <w:sz w:val="22"/>
          <w:szCs w:val="22"/>
          <w:lang w:val="en-US"/>
        </w:rPr>
        <w:t>».</w:t>
      </w:r>
    </w:p>
    <w:p w:rsidR="000B3721" w:rsidRPr="00862897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>Data in value terms are provided at current prices</w:t>
      </w:r>
      <w:r w:rsidR="000B3721" w:rsidRPr="00862897">
        <w:rPr>
          <w:rFonts w:cs="Arial"/>
          <w:spacing w:val="0"/>
          <w:sz w:val="22"/>
          <w:szCs w:val="22"/>
          <w:lang w:val="en-US"/>
        </w:rPr>
        <w:t>.</w:t>
      </w:r>
    </w:p>
    <w:p w:rsidR="000B3721" w:rsidRPr="00862897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>In certain cases data for 202</w:t>
      </w:r>
      <w:r w:rsidR="002574F8" w:rsidRPr="00862897">
        <w:rPr>
          <w:rFonts w:cs="Arial"/>
          <w:spacing w:val="0"/>
          <w:sz w:val="22"/>
          <w:szCs w:val="22"/>
          <w:lang w:val="en-US"/>
        </w:rPr>
        <w:t>4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are provisional and will be revised in further issues. Relative indicators are calculated on the basis of absolute figures with smaller units of measure. In </w:t>
      </w:r>
      <w:r w:rsidR="006E5520" w:rsidRPr="00862897">
        <w:rPr>
          <w:rFonts w:cs="Arial"/>
          <w:spacing w:val="0"/>
          <w:sz w:val="22"/>
          <w:szCs w:val="22"/>
          <w:lang w:val="en-US"/>
        </w:rPr>
        <w:t>some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cases minor discrepancies between the total and the sum of its components can be explained by data rounding</w:t>
      </w:r>
      <w:r w:rsidR="000B3721" w:rsidRPr="00862897">
        <w:rPr>
          <w:rFonts w:cs="Arial"/>
          <w:spacing w:val="0"/>
          <w:sz w:val="22"/>
          <w:szCs w:val="22"/>
          <w:lang w:val="en-US"/>
        </w:rPr>
        <w:t>.</w:t>
      </w:r>
    </w:p>
    <w:p w:rsidR="00EE2968" w:rsidRPr="00862897" w:rsidRDefault="00F267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 xml:space="preserve">A </w:t>
      </w:r>
      <w:r w:rsidR="000B1260" w:rsidRPr="00862897">
        <w:rPr>
          <w:rFonts w:cs="Arial"/>
          <w:spacing w:val="0"/>
          <w:sz w:val="22"/>
          <w:szCs w:val="22"/>
          <w:lang w:val="en-US"/>
        </w:rPr>
        <w:t>brief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glossary of statistical terms is available on the official website of </w:t>
      </w:r>
      <w:proofErr w:type="spellStart"/>
      <w:r w:rsidRPr="00862897">
        <w:rPr>
          <w:rFonts w:cs="Arial"/>
          <w:spacing w:val="0"/>
          <w:sz w:val="22"/>
          <w:szCs w:val="22"/>
          <w:lang w:val="en-US"/>
        </w:rPr>
        <w:t>Belstat</w:t>
      </w:r>
      <w:proofErr w:type="spellEnd"/>
      <w:r w:rsidRPr="00862897">
        <w:rPr>
          <w:rFonts w:cs="Arial"/>
          <w:spacing w:val="0"/>
          <w:sz w:val="22"/>
          <w:szCs w:val="22"/>
          <w:lang w:val="en-US"/>
        </w:rPr>
        <w:t xml:space="preserve"> at</w:t>
      </w:r>
      <w:r w:rsidR="006E4694" w:rsidRPr="00862897">
        <w:rPr>
          <w:lang w:val="en-US"/>
        </w:rPr>
        <w:t xml:space="preserve"> </w:t>
      </w:r>
      <w:hyperlink r:id="rId9" w:history="1">
        <w:r w:rsidR="00C1317B" w:rsidRPr="00862897">
          <w:rPr>
            <w:rStyle w:val="a5"/>
            <w:rFonts w:cs="Arial"/>
            <w:sz w:val="22"/>
            <w:szCs w:val="22"/>
            <w:lang w:val="en-US"/>
          </w:rPr>
          <w:t>https://www.belstat.gov.by/metodologiya/kratkiy-glossariy-statisticheskikh-terminov/</w:t>
        </w:r>
      </w:hyperlink>
      <w:r w:rsidR="00C1317B" w:rsidRPr="00862897">
        <w:rPr>
          <w:rFonts w:cs="Arial"/>
          <w:sz w:val="22"/>
          <w:szCs w:val="22"/>
          <w:lang w:val="en-US"/>
        </w:rPr>
        <w:t xml:space="preserve"> (in Russian)</w:t>
      </w:r>
      <w:r w:rsidR="00A14144" w:rsidRPr="00862897">
        <w:rPr>
          <w:rFonts w:cs="Arial"/>
          <w:spacing w:val="0"/>
          <w:sz w:val="22"/>
          <w:szCs w:val="22"/>
          <w:lang w:val="en-US"/>
        </w:rPr>
        <w:t>.</w:t>
      </w:r>
      <w:r w:rsidR="00EE2968" w:rsidRPr="00862897">
        <w:rPr>
          <w:rFonts w:cs="Arial"/>
          <w:spacing w:val="0"/>
          <w:sz w:val="22"/>
          <w:szCs w:val="22"/>
          <w:lang w:val="en-US"/>
        </w:rPr>
        <w:t xml:space="preserve"> </w:t>
      </w:r>
    </w:p>
    <w:p w:rsidR="00C1317B" w:rsidRPr="00862897" w:rsidRDefault="000B1260" w:rsidP="00F2677B">
      <w:pPr>
        <w:spacing w:before="60" w:line="240" w:lineRule="exact"/>
        <w:ind w:firstLine="709"/>
        <w:jc w:val="both"/>
        <w:rPr>
          <w:rFonts w:ascii="Arial" w:hAnsi="Arial" w:cs="Arial"/>
          <w:szCs w:val="22"/>
          <w:lang w:val="en-US"/>
        </w:rPr>
      </w:pPr>
      <w:r w:rsidRPr="00862897">
        <w:rPr>
          <w:rFonts w:ascii="Arial" w:hAnsi="Arial" w:cs="Arial"/>
          <w:szCs w:val="22"/>
          <w:lang w:val="en-US"/>
        </w:rPr>
        <w:t>The m</w:t>
      </w:r>
      <w:r w:rsidR="00F2677B" w:rsidRPr="00862897">
        <w:rPr>
          <w:rFonts w:ascii="Arial" w:hAnsi="Arial" w:cs="Arial"/>
          <w:szCs w:val="22"/>
          <w:lang w:val="en-US"/>
        </w:rPr>
        <w:t>ethodologies</w:t>
      </w:r>
      <w:r w:rsidR="006E4694" w:rsidRPr="00862897">
        <w:rPr>
          <w:rFonts w:ascii="Arial" w:hAnsi="Arial" w:cs="Arial"/>
          <w:szCs w:val="22"/>
          <w:lang w:val="en-US"/>
        </w:rPr>
        <w:t xml:space="preserve"> </w:t>
      </w:r>
      <w:r w:rsidRPr="00862897">
        <w:rPr>
          <w:rFonts w:ascii="Arial" w:hAnsi="Arial" w:cs="Arial"/>
          <w:szCs w:val="22"/>
          <w:lang w:val="en-US"/>
        </w:rPr>
        <w:t>for environmental statistics</w:t>
      </w:r>
      <w:r w:rsidR="006E4694" w:rsidRPr="00862897">
        <w:rPr>
          <w:rFonts w:ascii="Arial" w:hAnsi="Arial" w:cs="Arial"/>
          <w:szCs w:val="22"/>
          <w:lang w:val="en-US"/>
        </w:rPr>
        <w:t xml:space="preserve"> </w:t>
      </w:r>
      <w:r w:rsidR="00F2677B" w:rsidRPr="00862897">
        <w:rPr>
          <w:rFonts w:ascii="Arial" w:hAnsi="Arial" w:cs="Arial"/>
          <w:szCs w:val="22"/>
          <w:lang w:val="en-US"/>
        </w:rPr>
        <w:t>are available</w:t>
      </w:r>
      <w:r w:rsidR="00F2677B" w:rsidRPr="00862897">
        <w:rPr>
          <w:rFonts w:ascii="Arial" w:hAnsi="Arial" w:cs="Arial"/>
          <w:szCs w:val="22"/>
          <w:lang w:val="be-BY"/>
        </w:rPr>
        <w:t xml:space="preserve"> </w:t>
      </w:r>
      <w:r w:rsidR="00F2677B" w:rsidRPr="00862897">
        <w:rPr>
          <w:rFonts w:ascii="Arial" w:hAnsi="Arial" w:cs="Arial"/>
          <w:szCs w:val="22"/>
          <w:lang w:val="en-US"/>
        </w:rPr>
        <w:t xml:space="preserve">on the official website of </w:t>
      </w:r>
      <w:proofErr w:type="spellStart"/>
      <w:r w:rsidR="00F2677B" w:rsidRPr="00862897">
        <w:rPr>
          <w:rFonts w:ascii="Arial" w:hAnsi="Arial" w:cs="Arial"/>
          <w:szCs w:val="22"/>
          <w:lang w:val="en-US"/>
        </w:rPr>
        <w:t>Belstat</w:t>
      </w:r>
      <w:proofErr w:type="spellEnd"/>
      <w:r w:rsidR="00F2677B" w:rsidRPr="00862897">
        <w:rPr>
          <w:rFonts w:ascii="Arial" w:hAnsi="Arial" w:cs="Arial"/>
          <w:szCs w:val="22"/>
          <w:lang w:val="en-US"/>
        </w:rPr>
        <w:t xml:space="preserve"> at</w:t>
      </w:r>
      <w:r w:rsidR="006E4694" w:rsidRPr="00862897">
        <w:rPr>
          <w:rFonts w:cs="Arial"/>
          <w:sz w:val="16"/>
          <w:szCs w:val="16"/>
          <w:lang w:val="en-US"/>
        </w:rPr>
        <w:t xml:space="preserve"> </w:t>
      </w:r>
      <w:hyperlink r:id="rId10" w:history="1">
        <w:r w:rsidR="00C1317B" w:rsidRPr="00862897">
          <w:rPr>
            <w:rStyle w:val="a5"/>
            <w:rFonts w:ascii="Arial" w:hAnsi="Arial" w:cs="Arial"/>
            <w:szCs w:val="22"/>
            <w:lang w:val="en-US"/>
          </w:rPr>
          <w:t>https://www.belstat.gov.by/metodologiya/metodiki-po-formirovaniyu-i-raschetu-statistichesk/</w:t>
        </w:r>
      </w:hyperlink>
      <w:r w:rsidR="00C1317B" w:rsidRPr="00862897">
        <w:rPr>
          <w:rFonts w:ascii="Arial" w:hAnsi="Arial" w:cs="Arial"/>
          <w:szCs w:val="22"/>
          <w:lang w:val="en-US"/>
        </w:rPr>
        <w:t xml:space="preserve"> (in Russian).</w:t>
      </w:r>
    </w:p>
    <w:p w:rsidR="000B3721" w:rsidRPr="00C1317B" w:rsidRDefault="00C1317B" w:rsidP="00EC76E8">
      <w:pPr>
        <w:pStyle w:val="a3"/>
        <w:spacing w:line="240" w:lineRule="exact"/>
        <w:ind w:firstLine="709"/>
        <w:rPr>
          <w:rFonts w:cs="Arial"/>
          <w:spacing w:val="0"/>
          <w:sz w:val="22"/>
          <w:szCs w:val="22"/>
          <w:lang w:val="en-US"/>
        </w:rPr>
      </w:pPr>
      <w:r w:rsidRPr="00862897">
        <w:rPr>
          <w:rFonts w:cs="Arial"/>
          <w:spacing w:val="0"/>
          <w:sz w:val="22"/>
          <w:szCs w:val="22"/>
          <w:lang w:val="en-US"/>
        </w:rPr>
        <w:t xml:space="preserve">More detailed official statistics are available in the Interactive </w:t>
      </w:r>
      <w:r w:rsidR="006E5520" w:rsidRPr="00862897">
        <w:rPr>
          <w:rFonts w:cs="Arial"/>
          <w:spacing w:val="0"/>
          <w:sz w:val="22"/>
          <w:szCs w:val="22"/>
          <w:lang w:val="en-US"/>
        </w:rPr>
        <w:t>Information and Analytical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System for Dis</w:t>
      </w:r>
      <w:r w:rsidR="006E5520" w:rsidRPr="00862897">
        <w:rPr>
          <w:rFonts w:cs="Arial"/>
          <w:spacing w:val="0"/>
          <w:sz w:val="22"/>
          <w:szCs w:val="22"/>
          <w:lang w:val="en-US"/>
        </w:rPr>
        <w:t>semination</w:t>
      </w:r>
      <w:r w:rsidRPr="00862897">
        <w:rPr>
          <w:rFonts w:cs="Arial"/>
          <w:spacing w:val="0"/>
          <w:sz w:val="22"/>
          <w:szCs w:val="22"/>
          <w:lang w:val="en-US"/>
        </w:rPr>
        <w:t xml:space="preserve"> of Official Statistical Information (dataportal.belstat.gov.by)</w:t>
      </w:r>
      <w:r w:rsidR="00AF6DFD" w:rsidRPr="00862897">
        <w:rPr>
          <w:rFonts w:cs="Arial"/>
          <w:spacing w:val="0"/>
          <w:sz w:val="22"/>
          <w:szCs w:val="22"/>
          <w:lang w:val="en-US"/>
        </w:rPr>
        <w:t>.</w:t>
      </w:r>
      <w:bookmarkStart w:id="0" w:name="_GoBack"/>
      <w:bookmarkEnd w:id="0"/>
      <w:r w:rsidR="006E5520">
        <w:rPr>
          <w:rFonts w:cs="Arial"/>
          <w:spacing w:val="0"/>
          <w:sz w:val="22"/>
          <w:szCs w:val="22"/>
          <w:lang w:val="en-US"/>
        </w:rPr>
        <w:t xml:space="preserve"> </w:t>
      </w:r>
      <w:r w:rsidR="00F32216">
        <w:rPr>
          <w:rFonts w:cs="Arial"/>
          <w:spacing w:val="0"/>
          <w:sz w:val="22"/>
          <w:szCs w:val="22"/>
          <w:lang w:val="en-US"/>
        </w:rPr>
        <w:t xml:space="preserve"> </w:t>
      </w:r>
    </w:p>
    <w:p w:rsidR="0015667A" w:rsidRPr="00C1317B" w:rsidRDefault="0015667A" w:rsidP="00BD3EAF">
      <w:pPr>
        <w:tabs>
          <w:tab w:val="left" w:pos="0"/>
        </w:tabs>
        <w:spacing w:before="120" w:after="120"/>
        <w:jc w:val="center"/>
        <w:rPr>
          <w:rFonts w:ascii="Arial" w:hAnsi="Arial" w:cs="Arial"/>
          <w:szCs w:val="22"/>
          <w:lang w:val="en-US"/>
        </w:rPr>
      </w:pPr>
    </w:p>
    <w:p w:rsidR="00BD3EAF" w:rsidRPr="00A31669" w:rsidRDefault="00C1317B" w:rsidP="00690F2E">
      <w:pPr>
        <w:tabs>
          <w:tab w:val="left" w:pos="0"/>
        </w:tabs>
        <w:spacing w:before="120" w:after="120"/>
        <w:jc w:val="center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ABBREVIATIONS</w:t>
      </w:r>
      <w:r w:rsidR="00BD3EAF" w:rsidRPr="00A31669">
        <w:rPr>
          <w:rFonts w:ascii="Arial" w:hAnsi="Arial" w:cs="Arial"/>
          <w:szCs w:val="22"/>
        </w:rPr>
        <w:t>:</w:t>
      </w:r>
    </w:p>
    <w:tbl>
      <w:tblPr>
        <w:tblW w:w="4243" w:type="pct"/>
        <w:tblInd w:w="959" w:type="dxa"/>
        <w:tblLayout w:type="fixed"/>
        <w:tblLook w:val="0000" w:firstRow="0" w:lastRow="0" w:firstColumn="0" w:lastColumn="0" w:noHBand="0" w:noVBand="0"/>
      </w:tblPr>
      <w:tblGrid>
        <w:gridCol w:w="760"/>
        <w:gridCol w:w="2220"/>
        <w:gridCol w:w="803"/>
        <w:gridCol w:w="2027"/>
        <w:gridCol w:w="731"/>
        <w:gridCol w:w="1821"/>
      </w:tblGrid>
      <w:tr w:rsidR="00A41B26" w:rsidRPr="00DE6F73" w:rsidTr="00AB221B">
        <w:tc>
          <w:tcPr>
            <w:tcW w:w="454" w:type="pct"/>
          </w:tcPr>
          <w:p w:rsidR="00A41B26" w:rsidRPr="0038021E" w:rsidRDefault="00847598" w:rsidP="00A04EF0">
            <w:pPr>
              <w:spacing w:before="40" w:after="40" w:line="200" w:lineRule="exact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</w:t>
            </w:r>
          </w:p>
        </w:tc>
        <w:tc>
          <w:tcPr>
            <w:tcW w:w="1327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metre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A41B26" w:rsidRDefault="00847598" w:rsidP="00690F2E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у.</w:t>
            </w:r>
            <w:proofErr w:type="gramStart"/>
            <w:r>
              <w:rPr>
                <w:rFonts w:ascii="Arial" w:hAnsi="Arial" w:cs="Arial"/>
                <w:sz w:val="20"/>
              </w:rPr>
              <w:t>т</w:t>
            </w:r>
            <w:proofErr w:type="spellEnd"/>
            <w:proofErr w:type="gramEnd"/>
            <w:r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A41B26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 w:right="-5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fuel</w:t>
            </w:r>
            <w:proofErr w:type="spellEnd"/>
            <w:r w:rsidR="00C1317B" w:rsidRPr="00C1317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equivalent</w:t>
            </w:r>
            <w:proofErr w:type="spellEnd"/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A41B26" w:rsidRPr="00DE6F73" w:rsidRDefault="00A41B26" w:rsidP="00690F2E">
            <w:pPr>
              <w:spacing w:before="40" w:after="40" w:line="200" w:lineRule="exact"/>
              <w:ind w:left="85"/>
              <w:rPr>
                <w:rFonts w:ascii="Arial" w:hAnsi="Arial" w:cs="Arial"/>
                <w:sz w:val="20"/>
              </w:rPr>
            </w:pPr>
            <w:r w:rsidRPr="00C81204">
              <w:rPr>
                <w:rFonts w:ascii="Arial" w:hAnsi="Arial" w:cs="Arial"/>
                <w:sz w:val="20"/>
                <w:vertAlign w:val="superscript"/>
              </w:rPr>
              <w:t>0</w:t>
            </w:r>
            <w:r w:rsidRPr="00214F77">
              <w:rPr>
                <w:rFonts w:ascii="Arial" w:hAnsi="Arial" w:cs="Arial"/>
                <w:sz w:val="20"/>
              </w:rPr>
              <w:t>С</w:t>
            </w:r>
          </w:p>
        </w:tc>
        <w:tc>
          <w:tcPr>
            <w:tcW w:w="1089" w:type="pct"/>
          </w:tcPr>
          <w:p w:rsidR="00A41B26" w:rsidRPr="00DE6F73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DE6F7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degree</w:t>
            </w:r>
            <w:proofErr w:type="spellEnd"/>
            <w:r w:rsidR="00C1317B" w:rsidRPr="00C1317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Celsius</w:t>
            </w:r>
            <w:proofErr w:type="spellEnd"/>
          </w:p>
        </w:tc>
      </w:tr>
      <w:tr w:rsidR="00A41B26" w:rsidRPr="0038021E" w:rsidTr="00AB221B">
        <w:tc>
          <w:tcPr>
            <w:tcW w:w="454" w:type="pct"/>
          </w:tcPr>
          <w:p w:rsidR="00A41B26" w:rsidRPr="0038021E" w:rsidRDefault="00847598" w:rsidP="00A04EF0">
            <w:pPr>
              <w:spacing w:before="40" w:after="40" w:line="200" w:lineRule="exact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</w:t>
            </w:r>
            <w:r w:rsidR="00C1317B" w:rsidRPr="003B1EAC">
              <w:rPr>
                <w:rFonts w:ascii="Arial" w:hAnsi="Arial" w:cs="Arial"/>
                <w:sz w:val="20"/>
                <w:vertAlign w:val="superscript"/>
              </w:rPr>
              <w:t>3</w:t>
            </w:r>
          </w:p>
        </w:tc>
        <w:tc>
          <w:tcPr>
            <w:tcW w:w="1327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cubic</w:t>
            </w:r>
            <w:proofErr w:type="spellEnd"/>
            <w:r w:rsidR="00C1317B" w:rsidRPr="00C1317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metre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A41B26" w:rsidRPr="0038021E" w:rsidRDefault="00847598" w:rsidP="00690F2E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кг</w:t>
            </w:r>
            <w:proofErr w:type="gramEnd"/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kilogramme</w:t>
            </w:r>
            <w:proofErr w:type="spellEnd"/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A41B26" w:rsidRPr="00DE6F73" w:rsidRDefault="00A41B26" w:rsidP="00690F2E">
            <w:pPr>
              <w:spacing w:before="40" w:after="40" w:line="200" w:lineRule="exact"/>
              <w:ind w:left="85"/>
              <w:rPr>
                <w:rFonts w:ascii="Arial" w:hAnsi="Arial" w:cs="Arial"/>
                <w:sz w:val="20"/>
              </w:rPr>
            </w:pPr>
            <w:r w:rsidRPr="00DE6F73">
              <w:rPr>
                <w:rFonts w:ascii="Arial" w:hAnsi="Arial" w:cs="Arial"/>
                <w:sz w:val="20"/>
              </w:rPr>
              <w:t>%</w:t>
            </w:r>
          </w:p>
        </w:tc>
        <w:tc>
          <w:tcPr>
            <w:tcW w:w="1089" w:type="pct"/>
          </w:tcPr>
          <w:p w:rsidR="00A41B26" w:rsidRPr="00DE6F73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DE6F73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percent</w:t>
            </w:r>
            <w:proofErr w:type="spellEnd"/>
          </w:p>
        </w:tc>
      </w:tr>
      <w:tr w:rsidR="00A41B26" w:rsidRPr="0038021E" w:rsidTr="00AB221B">
        <w:tc>
          <w:tcPr>
            <w:tcW w:w="454" w:type="pct"/>
          </w:tcPr>
          <w:p w:rsidR="00A41B26" w:rsidRPr="00E044BD" w:rsidRDefault="00847598" w:rsidP="00A04EF0">
            <w:pPr>
              <w:spacing w:before="40" w:after="40" w:line="200" w:lineRule="exact"/>
              <w:ind w:left="113"/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г</w:t>
            </w:r>
            <w:proofErr w:type="gramStart"/>
            <w:r w:rsidR="00C1317B" w:rsidRPr="00C1317B">
              <w:rPr>
                <w:rFonts w:ascii="Arial" w:hAnsi="Arial" w:cs="Arial"/>
                <w:sz w:val="20"/>
              </w:rPr>
              <w:t>a</w:t>
            </w:r>
            <w:proofErr w:type="spellEnd"/>
            <w:proofErr w:type="gramEnd"/>
          </w:p>
        </w:tc>
        <w:tc>
          <w:tcPr>
            <w:tcW w:w="1327" w:type="pct"/>
            <w:tcBorders>
              <w:right w:val="double" w:sz="4" w:space="0" w:color="auto"/>
            </w:tcBorders>
          </w:tcPr>
          <w:p w:rsidR="00A41B26" w:rsidRPr="00772D88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772D88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hectare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A41B26" w:rsidRPr="0038021E" w:rsidRDefault="00847598" w:rsidP="00690F2E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tonne</w:t>
            </w:r>
            <w:proofErr w:type="spellEnd"/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A41B26" w:rsidRPr="0038021E" w:rsidRDefault="00847598" w:rsidP="00690F2E">
            <w:pPr>
              <w:spacing w:before="40" w:after="40" w:line="200" w:lineRule="exact"/>
              <w:ind w:left="8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руб.</w:t>
            </w:r>
          </w:p>
        </w:tc>
        <w:tc>
          <w:tcPr>
            <w:tcW w:w="1089" w:type="pct"/>
          </w:tcPr>
          <w:p w:rsidR="00A41B26" w:rsidRPr="0038021E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Belarusian</w:t>
            </w:r>
            <w:proofErr w:type="spellEnd"/>
            <w:r w:rsidR="00C1317B" w:rsidRPr="00C1317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rubles</w:t>
            </w:r>
            <w:proofErr w:type="spellEnd"/>
          </w:p>
        </w:tc>
      </w:tr>
      <w:tr w:rsidR="00A41B26" w:rsidRPr="0038021E" w:rsidTr="00AB221B">
        <w:tc>
          <w:tcPr>
            <w:tcW w:w="454" w:type="pct"/>
          </w:tcPr>
          <w:p w:rsidR="00A41B26" w:rsidRPr="008A75AC" w:rsidRDefault="00847598" w:rsidP="00A04EF0">
            <w:pPr>
              <w:spacing w:before="40" w:after="40" w:line="200" w:lineRule="exact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км</w:t>
            </w:r>
          </w:p>
        </w:tc>
        <w:tc>
          <w:tcPr>
            <w:tcW w:w="1327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/>
              <w:jc w:val="both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kilometre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A41B26" w:rsidRPr="00EA0A49" w:rsidRDefault="00A41B26" w:rsidP="00690F2E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O</w:t>
            </w:r>
            <w:r w:rsidRPr="00E044BD">
              <w:rPr>
                <w:rFonts w:ascii="Arial" w:hAnsi="Arial" w:cs="Arial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A41B26" w:rsidRPr="00E044BD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oxygen</w:t>
            </w:r>
            <w:proofErr w:type="spellEnd"/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A41B26" w:rsidRPr="008A75AC" w:rsidRDefault="00847598" w:rsidP="00690F2E">
            <w:pPr>
              <w:spacing w:before="40" w:after="40" w:line="200" w:lineRule="exact"/>
              <w:ind w:left="8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тыс.</w:t>
            </w:r>
          </w:p>
        </w:tc>
        <w:tc>
          <w:tcPr>
            <w:tcW w:w="1089" w:type="pct"/>
          </w:tcPr>
          <w:p w:rsidR="00A41B26" w:rsidRPr="0038021E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="00940964" w:rsidRPr="00940964">
              <w:rPr>
                <w:rFonts w:ascii="Arial" w:hAnsi="Arial" w:cs="Arial"/>
                <w:sz w:val="20"/>
              </w:rPr>
              <w:t>thousand</w:t>
            </w:r>
            <w:proofErr w:type="spellEnd"/>
          </w:p>
        </w:tc>
      </w:tr>
      <w:tr w:rsidR="00A41B26" w:rsidRPr="0038021E" w:rsidTr="00AB221B">
        <w:trPr>
          <w:trHeight w:val="66"/>
        </w:trPr>
        <w:tc>
          <w:tcPr>
            <w:tcW w:w="454" w:type="pct"/>
          </w:tcPr>
          <w:p w:rsidR="00A41B26" w:rsidRPr="00A04EF0" w:rsidRDefault="00847598" w:rsidP="00A04EF0">
            <w:pPr>
              <w:spacing w:before="40" w:after="40" w:line="200" w:lineRule="exact"/>
              <w:ind w:left="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км</w:t>
            </w:r>
            <w:proofErr w:type="gramStart"/>
            <w:r w:rsidR="00C1317B" w:rsidRPr="00A04EF0">
              <w:rPr>
                <w:rFonts w:ascii="Arial" w:hAnsi="Arial" w:cs="Arial"/>
                <w:sz w:val="20"/>
                <w:vertAlign w:val="superscript"/>
              </w:rPr>
              <w:t>2</w:t>
            </w:r>
            <w:proofErr w:type="gramEnd"/>
          </w:p>
        </w:tc>
        <w:tc>
          <w:tcPr>
            <w:tcW w:w="1327" w:type="pct"/>
            <w:tcBorders>
              <w:right w:val="double" w:sz="4" w:space="0" w:color="auto"/>
            </w:tcBorders>
          </w:tcPr>
          <w:p w:rsidR="00A41B26" w:rsidRPr="00A04EF0" w:rsidRDefault="003A1AEC" w:rsidP="00690F2E">
            <w:pPr>
              <w:tabs>
                <w:tab w:val="left" w:pos="851"/>
              </w:tabs>
              <w:spacing w:before="40" w:after="40" w:line="200" w:lineRule="exact"/>
              <w:ind w:left="-108" w:right="-57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A04EF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A04EF0">
              <w:rPr>
                <w:rFonts w:ascii="Arial" w:hAnsi="Arial" w:cs="Arial"/>
                <w:sz w:val="20"/>
              </w:rPr>
              <w:t>square</w:t>
            </w:r>
            <w:proofErr w:type="spellEnd"/>
            <w:r w:rsidR="00C1317B" w:rsidRPr="00A04EF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A04EF0">
              <w:rPr>
                <w:rFonts w:ascii="Arial" w:hAnsi="Arial" w:cs="Arial"/>
                <w:sz w:val="20"/>
              </w:rPr>
              <w:t>kilometre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A41B26" w:rsidRPr="00EA0A49" w:rsidRDefault="00A41B26" w:rsidP="00690F2E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CO</w:t>
            </w:r>
            <w:r w:rsidRPr="00E044BD">
              <w:rPr>
                <w:rFonts w:ascii="Arial" w:hAnsi="Arial" w:cs="Arial"/>
                <w:sz w:val="20"/>
                <w:vertAlign w:val="subscript"/>
                <w:lang w:val="en-US"/>
              </w:rPr>
              <w:t>2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A41B26" w:rsidRPr="0038021E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carbon</w:t>
            </w:r>
            <w:proofErr w:type="spellEnd"/>
            <w:r w:rsidR="00C1317B" w:rsidRPr="00C1317B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C1317B" w:rsidRPr="00C1317B">
              <w:rPr>
                <w:rFonts w:ascii="Arial" w:hAnsi="Arial" w:cs="Arial"/>
                <w:sz w:val="20"/>
              </w:rPr>
              <w:t>dioxide</w:t>
            </w:r>
            <w:proofErr w:type="spellEnd"/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A41B26" w:rsidRPr="0038021E" w:rsidRDefault="00847598" w:rsidP="00690F2E">
            <w:pPr>
              <w:spacing w:before="40" w:after="40" w:line="200" w:lineRule="exact"/>
              <w:ind w:left="85" w:right="-10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млн.</w:t>
            </w:r>
          </w:p>
        </w:tc>
        <w:tc>
          <w:tcPr>
            <w:tcW w:w="1089" w:type="pct"/>
          </w:tcPr>
          <w:p w:rsidR="00A41B26" w:rsidRPr="0038021E" w:rsidRDefault="003A1AEC" w:rsidP="00690F2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="00A41B26" w:rsidRPr="0038021E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="00940964" w:rsidRPr="00940964">
              <w:rPr>
                <w:rFonts w:ascii="Arial" w:hAnsi="Arial" w:cs="Arial"/>
                <w:sz w:val="20"/>
              </w:rPr>
              <w:t>million</w:t>
            </w:r>
            <w:proofErr w:type="spellEnd"/>
          </w:p>
        </w:tc>
      </w:tr>
      <w:tr w:rsidR="00D33DB4" w:rsidRPr="0038021E" w:rsidTr="00AB221B">
        <w:trPr>
          <w:trHeight w:val="66"/>
        </w:trPr>
        <w:tc>
          <w:tcPr>
            <w:tcW w:w="454" w:type="pct"/>
            <w:vMerge w:val="restart"/>
          </w:tcPr>
          <w:p w:rsidR="00D33DB4" w:rsidRPr="00847598" w:rsidRDefault="00847598" w:rsidP="00A04EF0">
            <w:pPr>
              <w:spacing w:before="40" w:after="40" w:line="200" w:lineRule="exact"/>
              <w:ind w:left="113" w:right="-5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мм</w:t>
            </w:r>
          </w:p>
          <w:p w:rsidR="00D33DB4" w:rsidRPr="007B3BDA" w:rsidRDefault="00847598" w:rsidP="0051533E">
            <w:pPr>
              <w:spacing w:before="40" w:after="40" w:line="200" w:lineRule="exact"/>
              <w:ind w:left="113" w:right="-57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</w:rPr>
              <w:t>ПДК</w:t>
            </w:r>
          </w:p>
        </w:tc>
        <w:tc>
          <w:tcPr>
            <w:tcW w:w="1327" w:type="pct"/>
            <w:vMerge w:val="restart"/>
            <w:tcBorders>
              <w:right w:val="double" w:sz="4" w:space="0" w:color="auto"/>
            </w:tcBorders>
          </w:tcPr>
          <w:p w:rsidR="00D33DB4" w:rsidRPr="007B3BDA" w:rsidRDefault="00D33DB4" w:rsidP="003A1AEC">
            <w:pPr>
              <w:tabs>
                <w:tab w:val="left" w:pos="851"/>
              </w:tabs>
              <w:spacing w:before="40" w:after="40" w:line="200" w:lineRule="exact"/>
              <w:ind w:left="-108" w:right="-57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7B3BDA">
              <w:rPr>
                <w:rFonts w:ascii="Arial" w:hAnsi="Arial" w:cs="Arial"/>
                <w:sz w:val="20"/>
                <w:lang w:val="en-US"/>
              </w:rPr>
              <w:t xml:space="preserve">– </w:t>
            </w:r>
            <w:proofErr w:type="spellStart"/>
            <w:r w:rsidRPr="007B3BDA">
              <w:rPr>
                <w:rFonts w:ascii="Arial" w:hAnsi="Arial" w:cs="Arial"/>
                <w:sz w:val="20"/>
                <w:lang w:val="en-US"/>
              </w:rPr>
              <w:t>millimetre</w:t>
            </w:r>
            <w:proofErr w:type="spellEnd"/>
          </w:p>
          <w:p w:rsidR="00D33DB4" w:rsidRPr="007B3BDA" w:rsidRDefault="00D33DB4" w:rsidP="0051533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Pr="00A04EF0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A04EF0">
              <w:rPr>
                <w:rFonts w:ascii="Arial" w:hAnsi="Arial" w:cs="Arial"/>
                <w:sz w:val="20"/>
              </w:rPr>
              <w:t>maximum</w:t>
            </w:r>
            <w:proofErr w:type="spellEnd"/>
            <w:r w:rsidRPr="00A04EF0">
              <w:rPr>
                <w:rFonts w:ascii="Arial" w:hAnsi="Arial" w:cs="Arial"/>
                <w:sz w:val="20"/>
              </w:rPr>
              <w:t xml:space="preserve"> </w:t>
            </w:r>
            <w:r w:rsidRPr="00A04EF0">
              <w:rPr>
                <w:rFonts w:ascii="Arial" w:hAnsi="Arial" w:cs="Arial"/>
                <w:sz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A04EF0">
              <w:rPr>
                <w:rFonts w:ascii="Arial" w:hAnsi="Arial" w:cs="Arial"/>
                <w:sz w:val="20"/>
              </w:rPr>
              <w:t>permissible</w:t>
            </w:r>
            <w:proofErr w:type="spellEnd"/>
            <w:r w:rsidRPr="00A04EF0">
              <w:rPr>
                <w:rFonts w:ascii="Arial" w:hAnsi="Arial" w:cs="Arial"/>
                <w:sz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A04EF0">
              <w:rPr>
                <w:rFonts w:ascii="Arial" w:hAnsi="Arial" w:cs="Arial"/>
                <w:sz w:val="20"/>
              </w:rPr>
              <w:t>concentration</w:t>
            </w:r>
            <w:proofErr w:type="spellEnd"/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D33DB4" w:rsidRPr="00847598" w:rsidRDefault="00847598" w:rsidP="00A04EF0">
            <w:pPr>
              <w:spacing w:before="40" w:after="40" w:line="200" w:lineRule="exact"/>
              <w:ind w:left="17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ВВП</w:t>
            </w: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D33DB4" w:rsidRPr="00F2677B" w:rsidRDefault="00D33DB4" w:rsidP="00B009B9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Pr="00F2677B">
              <w:rPr>
                <w:rFonts w:ascii="Arial" w:hAnsi="Arial" w:cs="Arial"/>
                <w:sz w:val="20"/>
              </w:rPr>
              <w:t xml:space="preserve"> </w:t>
            </w:r>
            <w:r w:rsidRPr="00F2677B">
              <w:rPr>
                <w:rFonts w:ascii="Arial" w:hAnsi="Arial" w:cs="Arial"/>
                <w:sz w:val="20"/>
                <w:lang w:val="en-US"/>
              </w:rPr>
              <w:t>gross</w:t>
            </w:r>
            <w:r w:rsidRPr="00F2677B">
              <w:rPr>
                <w:rFonts w:ascii="Arial" w:hAnsi="Arial" w:cs="Arial"/>
                <w:sz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7B">
              <w:rPr>
                <w:rFonts w:ascii="Arial" w:hAnsi="Arial" w:cs="Arial"/>
                <w:sz w:val="20"/>
                <w:lang w:val="en-US"/>
              </w:rPr>
              <w:t>domestic</w:t>
            </w:r>
            <w:r w:rsidRPr="00F2677B">
              <w:rPr>
                <w:rFonts w:ascii="Arial" w:hAnsi="Arial" w:cs="Arial"/>
                <w:sz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F2677B">
              <w:rPr>
                <w:rFonts w:ascii="Arial" w:hAnsi="Arial" w:cs="Arial"/>
                <w:sz w:val="20"/>
                <w:lang w:val="en-US"/>
              </w:rPr>
              <w:t>product</w:t>
            </w:r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D33DB4" w:rsidRPr="00847598" w:rsidRDefault="00847598" w:rsidP="004A1314">
            <w:pPr>
              <w:spacing w:before="40" w:after="40" w:line="200" w:lineRule="exact"/>
              <w:ind w:left="85" w:right="-107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ВДС</w:t>
            </w:r>
          </w:p>
        </w:tc>
        <w:tc>
          <w:tcPr>
            <w:tcW w:w="1089" w:type="pct"/>
          </w:tcPr>
          <w:p w:rsidR="00D33DB4" w:rsidRPr="002574F8" w:rsidRDefault="00D33DB4" w:rsidP="00AB221B">
            <w:pPr>
              <w:spacing w:before="40" w:after="40" w:line="200" w:lineRule="exact"/>
              <w:ind w:left="-109"/>
              <w:rPr>
                <w:rFonts w:ascii="Arial" w:hAnsi="Arial" w:cs="Arial"/>
                <w:sz w:val="20"/>
                <w:lang w:val="en-US"/>
              </w:rPr>
            </w:pPr>
            <w:r>
              <w:rPr>
                <w:rFonts w:ascii="Arial" w:hAnsi="Arial" w:cs="Arial"/>
                <w:sz w:val="20"/>
                <w:lang w:val="en-US"/>
              </w:rPr>
              <w:t>–</w:t>
            </w:r>
            <w:r w:rsidRPr="002574F8">
              <w:rPr>
                <w:rFonts w:ascii="Arial" w:hAnsi="Arial" w:cs="Arial"/>
                <w:sz w:val="20"/>
              </w:rPr>
              <w:t xml:space="preserve"> </w:t>
            </w:r>
            <w:r w:rsidRPr="002574F8">
              <w:rPr>
                <w:rFonts w:ascii="Arial" w:hAnsi="Arial" w:cs="Arial"/>
                <w:sz w:val="20"/>
                <w:lang w:val="en-US"/>
              </w:rPr>
              <w:t>gross</w:t>
            </w:r>
            <w:r w:rsidRPr="002574F8">
              <w:rPr>
                <w:rFonts w:ascii="Arial" w:hAnsi="Arial" w:cs="Arial"/>
                <w:sz w:val="20"/>
              </w:rPr>
              <w:br/>
              <w:t xml:space="preserve">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2574F8">
              <w:rPr>
                <w:rFonts w:ascii="Arial" w:hAnsi="Arial" w:cs="Arial"/>
                <w:sz w:val="20"/>
              </w:rPr>
              <w:t xml:space="preserve"> </w:t>
            </w:r>
            <w:r w:rsidRPr="002574F8">
              <w:rPr>
                <w:rFonts w:ascii="Arial" w:hAnsi="Arial" w:cs="Arial"/>
                <w:sz w:val="20"/>
                <w:lang w:val="en-US"/>
              </w:rPr>
              <w:t>value</w:t>
            </w:r>
            <w:r w:rsidRPr="002574F8">
              <w:rPr>
                <w:rFonts w:ascii="Arial" w:hAnsi="Arial" w:cs="Arial"/>
                <w:sz w:val="20"/>
              </w:rPr>
              <w:br/>
              <w:t xml:space="preserve">  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2574F8">
              <w:rPr>
                <w:rFonts w:ascii="Arial" w:hAnsi="Arial" w:cs="Arial"/>
                <w:sz w:val="20"/>
                <w:lang w:val="en-US"/>
              </w:rPr>
              <w:t>added</w:t>
            </w:r>
          </w:p>
        </w:tc>
      </w:tr>
      <w:tr w:rsidR="00D33DB4" w:rsidRPr="0038021E" w:rsidTr="00AB221B">
        <w:trPr>
          <w:trHeight w:val="66"/>
        </w:trPr>
        <w:tc>
          <w:tcPr>
            <w:tcW w:w="454" w:type="pct"/>
            <w:vMerge/>
          </w:tcPr>
          <w:p w:rsidR="00D33DB4" w:rsidRPr="00A04EF0" w:rsidRDefault="00D33DB4" w:rsidP="0051533E">
            <w:pPr>
              <w:spacing w:before="40" w:after="40" w:line="200" w:lineRule="exact"/>
              <w:ind w:left="113" w:right="-57"/>
              <w:rPr>
                <w:rFonts w:ascii="Arial" w:hAnsi="Arial" w:cs="Arial"/>
                <w:sz w:val="20"/>
              </w:rPr>
            </w:pPr>
          </w:p>
        </w:tc>
        <w:tc>
          <w:tcPr>
            <w:tcW w:w="1327" w:type="pct"/>
            <w:vMerge/>
            <w:tcBorders>
              <w:right w:val="double" w:sz="4" w:space="0" w:color="auto"/>
            </w:tcBorders>
          </w:tcPr>
          <w:p w:rsidR="00D33DB4" w:rsidRPr="00A04EF0" w:rsidRDefault="00D33DB4" w:rsidP="0051533E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</w:p>
        </w:tc>
        <w:tc>
          <w:tcPr>
            <w:tcW w:w="480" w:type="pct"/>
            <w:tcBorders>
              <w:left w:val="double" w:sz="4" w:space="0" w:color="auto"/>
            </w:tcBorders>
            <w:tcMar>
              <w:left w:w="57" w:type="dxa"/>
              <w:right w:w="57" w:type="dxa"/>
            </w:tcMar>
          </w:tcPr>
          <w:p w:rsidR="00D33DB4" w:rsidRPr="0046031B" w:rsidRDefault="00D33DB4" w:rsidP="00CE6082">
            <w:pPr>
              <w:spacing w:before="40" w:after="40" w:line="200" w:lineRule="exact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1212" w:type="pct"/>
            <w:tcBorders>
              <w:right w:val="double" w:sz="4" w:space="0" w:color="auto"/>
            </w:tcBorders>
          </w:tcPr>
          <w:p w:rsidR="00D33DB4" w:rsidRPr="0046031B" w:rsidRDefault="00D33DB4" w:rsidP="00CE6082">
            <w:pPr>
              <w:spacing w:before="40" w:after="40" w:line="200" w:lineRule="exact"/>
              <w:ind w:left="-113"/>
              <w:rPr>
                <w:rFonts w:ascii="Arial" w:hAnsi="Arial" w:cs="Arial"/>
                <w:sz w:val="20"/>
              </w:rPr>
            </w:pPr>
          </w:p>
        </w:tc>
        <w:tc>
          <w:tcPr>
            <w:tcW w:w="437" w:type="pct"/>
            <w:tcBorders>
              <w:left w:val="double" w:sz="4" w:space="0" w:color="auto"/>
            </w:tcBorders>
          </w:tcPr>
          <w:p w:rsidR="00D33DB4" w:rsidRDefault="00D33DB4" w:rsidP="004A1314">
            <w:pPr>
              <w:spacing w:before="40" w:after="40" w:line="200" w:lineRule="exact"/>
              <w:ind w:left="85" w:right="-107"/>
              <w:rPr>
                <w:rFonts w:ascii="Arial" w:hAnsi="Arial" w:cs="Arial"/>
                <w:color w:val="FF0000"/>
                <w:sz w:val="20"/>
                <w:lang w:val="en-US"/>
              </w:rPr>
            </w:pPr>
          </w:p>
        </w:tc>
        <w:tc>
          <w:tcPr>
            <w:tcW w:w="1089" w:type="pct"/>
          </w:tcPr>
          <w:p w:rsidR="00D33DB4" w:rsidRPr="00D74AFC" w:rsidRDefault="00D33DB4" w:rsidP="00AB221B">
            <w:pPr>
              <w:spacing w:before="40" w:after="40" w:line="200" w:lineRule="exact"/>
              <w:ind w:left="-109"/>
              <w:rPr>
                <w:rFonts w:ascii="Arial" w:hAnsi="Arial" w:cs="Arial"/>
                <w:color w:val="FF0000"/>
                <w:sz w:val="20"/>
              </w:rPr>
            </w:pPr>
          </w:p>
        </w:tc>
      </w:tr>
    </w:tbl>
    <w:p w:rsidR="00735C24" w:rsidRPr="001619C0" w:rsidRDefault="00735C24" w:rsidP="00735C24">
      <w:pPr>
        <w:spacing w:line="220" w:lineRule="exact"/>
        <w:jc w:val="center"/>
        <w:rPr>
          <w:rFonts w:ascii="Arial" w:hAnsi="Arial" w:cs="Arial"/>
          <w:sz w:val="16"/>
          <w:szCs w:val="16"/>
        </w:rPr>
      </w:pPr>
    </w:p>
    <w:p w:rsidR="001619C0" w:rsidRDefault="001619C0" w:rsidP="00735C24">
      <w:pPr>
        <w:spacing w:line="220" w:lineRule="exact"/>
        <w:jc w:val="center"/>
        <w:rPr>
          <w:rFonts w:ascii="Arial" w:hAnsi="Arial" w:cs="Arial"/>
          <w:sz w:val="16"/>
          <w:szCs w:val="16"/>
        </w:rPr>
      </w:pPr>
    </w:p>
    <w:p w:rsidR="00BD3EAF" w:rsidRPr="001E33E9" w:rsidRDefault="00940964" w:rsidP="00BD3EAF">
      <w:pPr>
        <w:spacing w:before="120" w:after="120" w:line="220" w:lineRule="exact"/>
        <w:jc w:val="center"/>
        <w:rPr>
          <w:rFonts w:ascii="Arial" w:hAnsi="Arial" w:cs="Arial"/>
          <w:szCs w:val="22"/>
        </w:rPr>
      </w:pPr>
      <w:proofErr w:type="spellStart"/>
      <w:r w:rsidRPr="00940964">
        <w:rPr>
          <w:rFonts w:ascii="Arial" w:hAnsi="Arial" w:cs="Arial"/>
          <w:szCs w:val="22"/>
        </w:rPr>
        <w:t>Explanation</w:t>
      </w:r>
      <w:proofErr w:type="spellEnd"/>
      <w:r w:rsidRPr="00940964">
        <w:rPr>
          <w:rFonts w:ascii="Arial" w:hAnsi="Arial" w:cs="Arial"/>
          <w:szCs w:val="22"/>
        </w:rPr>
        <w:t xml:space="preserve"> </w:t>
      </w:r>
      <w:proofErr w:type="spellStart"/>
      <w:r w:rsidRPr="00940964">
        <w:rPr>
          <w:rFonts w:ascii="Arial" w:hAnsi="Arial" w:cs="Arial"/>
          <w:szCs w:val="22"/>
        </w:rPr>
        <w:t>of</w:t>
      </w:r>
      <w:proofErr w:type="spellEnd"/>
      <w:r w:rsidRPr="00940964">
        <w:rPr>
          <w:rFonts w:ascii="Arial" w:hAnsi="Arial" w:cs="Arial"/>
          <w:szCs w:val="22"/>
        </w:rPr>
        <w:t xml:space="preserve"> </w:t>
      </w:r>
      <w:proofErr w:type="spellStart"/>
      <w:r w:rsidRPr="00940964">
        <w:rPr>
          <w:rFonts w:ascii="Arial" w:hAnsi="Arial" w:cs="Arial"/>
          <w:szCs w:val="22"/>
        </w:rPr>
        <w:t>symbols</w:t>
      </w:r>
      <w:proofErr w:type="spellEnd"/>
      <w:r w:rsidRPr="00940964">
        <w:rPr>
          <w:rFonts w:ascii="Arial" w:hAnsi="Arial" w:cs="Arial"/>
          <w:szCs w:val="22"/>
        </w:rPr>
        <w:t>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09"/>
        <w:gridCol w:w="3119"/>
      </w:tblGrid>
      <w:tr w:rsidR="00945CAB" w:rsidRPr="00945CAB" w:rsidTr="00BD3EAF">
        <w:trPr>
          <w:jc w:val="center"/>
        </w:trPr>
        <w:tc>
          <w:tcPr>
            <w:tcW w:w="709" w:type="dxa"/>
          </w:tcPr>
          <w:p w:rsidR="00BD3EAF" w:rsidRPr="00127B5C" w:rsidRDefault="00BD3EAF" w:rsidP="00BD3EAF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:rsidR="00BD3EAF" w:rsidRPr="00127B5C" w:rsidRDefault="00BD3EAF" w:rsidP="00BD3EAF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DA32C0" w:rsidRPr="00945CAB" w:rsidTr="00BD3EAF">
        <w:trPr>
          <w:jc w:val="center"/>
        </w:trPr>
        <w:tc>
          <w:tcPr>
            <w:tcW w:w="709" w:type="dxa"/>
          </w:tcPr>
          <w:p w:rsidR="00DA32C0" w:rsidRPr="00127B5C" w:rsidRDefault="00940964" w:rsidP="00C1317B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0.</w:t>
            </w:r>
            <w:r w:rsidR="00DA32C0" w:rsidRPr="00127B5C">
              <w:rPr>
                <w:rFonts w:ascii="Arial" w:hAnsi="Arial" w:cs="Arial"/>
                <w:sz w:val="20"/>
              </w:rPr>
              <w:t>0</w:t>
            </w:r>
          </w:p>
        </w:tc>
        <w:tc>
          <w:tcPr>
            <w:tcW w:w="3119" w:type="dxa"/>
          </w:tcPr>
          <w:p w:rsidR="00DA32C0" w:rsidRPr="00127B5C" w:rsidRDefault="00940964" w:rsidP="00C1317B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  <w:proofErr w:type="spellStart"/>
            <w:r w:rsidRPr="00940964">
              <w:rPr>
                <w:rFonts w:ascii="Arial" w:hAnsi="Arial" w:cs="Arial"/>
                <w:sz w:val="20"/>
              </w:rPr>
              <w:t>negligible</w:t>
            </w:r>
            <w:proofErr w:type="spellEnd"/>
            <w:r w:rsidRPr="00940964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940964">
              <w:rPr>
                <w:rFonts w:ascii="Arial" w:hAnsi="Arial" w:cs="Arial"/>
                <w:sz w:val="20"/>
              </w:rPr>
              <w:t>magnitude</w:t>
            </w:r>
            <w:proofErr w:type="spellEnd"/>
          </w:p>
        </w:tc>
      </w:tr>
      <w:tr w:rsidR="00DA32C0" w:rsidRPr="0038021E" w:rsidTr="00BD3EAF">
        <w:trPr>
          <w:jc w:val="center"/>
        </w:trPr>
        <w:tc>
          <w:tcPr>
            <w:tcW w:w="709" w:type="dxa"/>
          </w:tcPr>
          <w:p w:rsidR="00DA32C0" w:rsidRPr="0038021E" w:rsidRDefault="00DA32C0" w:rsidP="00BD3EAF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</w:tcPr>
          <w:p w:rsidR="00DA32C0" w:rsidRPr="0038021E" w:rsidRDefault="00DA32C0" w:rsidP="00BD3EAF">
            <w:pPr>
              <w:spacing w:line="220" w:lineRule="exact"/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:rsidR="00C81204" w:rsidRDefault="00C81204" w:rsidP="001619C0">
      <w:pPr>
        <w:spacing w:line="240" w:lineRule="exact"/>
        <w:outlineLvl w:val="0"/>
        <w:rPr>
          <w:rFonts w:ascii="Arial" w:hAnsi="Arial" w:cs="Arial"/>
          <w:i/>
          <w:sz w:val="16"/>
          <w:szCs w:val="16"/>
        </w:rPr>
      </w:pPr>
    </w:p>
    <w:p w:rsidR="00C364F4" w:rsidRPr="001619C0" w:rsidRDefault="00C364F4" w:rsidP="001619C0">
      <w:pPr>
        <w:spacing w:line="240" w:lineRule="exact"/>
        <w:outlineLvl w:val="0"/>
        <w:rPr>
          <w:rFonts w:ascii="Arial" w:hAnsi="Arial" w:cs="Arial"/>
          <w:i/>
          <w:sz w:val="16"/>
          <w:szCs w:val="16"/>
        </w:rPr>
      </w:pPr>
    </w:p>
    <w:tbl>
      <w:tblPr>
        <w:tblW w:w="9604" w:type="dxa"/>
        <w:tblInd w:w="108" w:type="dxa"/>
        <w:tblLook w:val="00A0" w:firstRow="1" w:lastRow="0" w:firstColumn="1" w:lastColumn="0" w:noHBand="0" w:noVBand="0"/>
      </w:tblPr>
      <w:tblGrid>
        <w:gridCol w:w="5068"/>
        <w:gridCol w:w="4536"/>
      </w:tblGrid>
      <w:tr w:rsidR="00F74D11" w:rsidRPr="00847598" w:rsidTr="00901ABD">
        <w:tc>
          <w:tcPr>
            <w:tcW w:w="5068" w:type="dxa"/>
            <w:shd w:val="clear" w:color="auto" w:fill="auto"/>
          </w:tcPr>
          <w:p w:rsidR="00A47901" w:rsidRPr="00690F2E" w:rsidRDefault="00F74D11" w:rsidP="00E3177D">
            <w:pPr>
              <w:jc w:val="both"/>
              <w:rPr>
                <w:rFonts w:ascii="Arial" w:hAnsi="Arial" w:cs="Arial"/>
                <w:b/>
                <w:spacing w:val="-4"/>
                <w:szCs w:val="22"/>
              </w:rPr>
            </w:pPr>
            <w:r w:rsidRPr="001E4CD2">
              <w:rPr>
                <w:rFonts w:ascii="Arial" w:hAnsi="Arial" w:cs="Arial"/>
                <w:b/>
                <w:spacing w:val="-4"/>
                <w:szCs w:val="22"/>
                <w:lang w:val="en-GB"/>
              </w:rPr>
              <w:t>ISBN</w:t>
            </w:r>
            <w:r w:rsidRPr="001E4CD2">
              <w:rPr>
                <w:rFonts w:ascii="Arial" w:hAnsi="Arial" w:cs="Arial"/>
                <w:b/>
                <w:spacing w:val="-4"/>
                <w:szCs w:val="22"/>
              </w:rPr>
              <w:t xml:space="preserve"> </w:t>
            </w:r>
            <w:r w:rsidR="002A18A6" w:rsidRPr="001E4CD2">
              <w:rPr>
                <w:rFonts w:ascii="Arial" w:hAnsi="Arial" w:cs="Arial"/>
                <w:b/>
                <w:spacing w:val="-4"/>
                <w:szCs w:val="22"/>
              </w:rPr>
              <w:t xml:space="preserve"> </w:t>
            </w:r>
            <w:r w:rsidR="002A18A6" w:rsidRPr="006B05E3">
              <w:rPr>
                <w:rFonts w:ascii="Arial" w:hAnsi="Arial" w:cs="Arial"/>
                <w:b/>
                <w:spacing w:val="-4"/>
                <w:szCs w:val="22"/>
              </w:rPr>
              <w:t>978-985-</w:t>
            </w:r>
            <w:r w:rsidR="00F60D6A" w:rsidRPr="006B05E3">
              <w:rPr>
                <w:rFonts w:ascii="Arial" w:hAnsi="Arial" w:cs="Arial"/>
                <w:b/>
                <w:spacing w:val="-4"/>
                <w:szCs w:val="22"/>
              </w:rPr>
              <w:t>7</w:t>
            </w:r>
            <w:r w:rsidR="001E4CD2" w:rsidRPr="006B05E3">
              <w:rPr>
                <w:rFonts w:ascii="Arial" w:hAnsi="Arial" w:cs="Arial"/>
                <w:b/>
                <w:spacing w:val="-4"/>
                <w:szCs w:val="22"/>
              </w:rPr>
              <w:t>307</w:t>
            </w:r>
            <w:r w:rsidR="00F60D6A" w:rsidRPr="006B05E3">
              <w:rPr>
                <w:rFonts w:ascii="Arial" w:hAnsi="Arial" w:cs="Arial"/>
                <w:b/>
                <w:spacing w:val="-4"/>
                <w:szCs w:val="22"/>
              </w:rPr>
              <w:t>-</w:t>
            </w:r>
            <w:r w:rsidR="00E3177D" w:rsidRPr="006B05E3">
              <w:rPr>
                <w:rFonts w:ascii="Arial" w:hAnsi="Arial" w:cs="Arial"/>
                <w:b/>
                <w:spacing w:val="-4"/>
                <w:szCs w:val="22"/>
              </w:rPr>
              <w:t>43</w:t>
            </w:r>
            <w:r w:rsidR="00F60D6A" w:rsidRPr="006B05E3">
              <w:rPr>
                <w:rFonts w:ascii="Arial" w:hAnsi="Arial" w:cs="Arial"/>
                <w:b/>
                <w:spacing w:val="-4"/>
                <w:szCs w:val="22"/>
              </w:rPr>
              <w:t>-</w:t>
            </w:r>
            <w:r w:rsidR="00E3177D" w:rsidRPr="006B05E3">
              <w:rPr>
                <w:rFonts w:ascii="Arial" w:hAnsi="Arial" w:cs="Arial"/>
                <w:b/>
                <w:spacing w:val="-4"/>
                <w:szCs w:val="22"/>
              </w:rPr>
              <w:t>2</w:t>
            </w:r>
          </w:p>
        </w:tc>
        <w:tc>
          <w:tcPr>
            <w:tcW w:w="4536" w:type="dxa"/>
          </w:tcPr>
          <w:p w:rsidR="00F74D11" w:rsidRPr="00A04EF0" w:rsidRDefault="00F74D11" w:rsidP="00C364F4">
            <w:pPr>
              <w:spacing w:after="120"/>
              <w:rPr>
                <w:rFonts w:ascii="Arial" w:hAnsi="Arial" w:cs="Arial"/>
                <w:spacing w:val="-4"/>
                <w:szCs w:val="22"/>
                <w:lang w:val="en-US"/>
              </w:rPr>
            </w:pPr>
            <w:r w:rsidRPr="00940964">
              <w:rPr>
                <w:rFonts w:ascii="Arial" w:hAnsi="Arial" w:cs="Arial"/>
                <w:spacing w:val="-4"/>
                <w:szCs w:val="22"/>
                <w:lang w:val="en-US"/>
              </w:rPr>
              <w:t xml:space="preserve">©  </w:t>
            </w:r>
            <w:r w:rsidR="00940964" w:rsidRPr="00940964">
              <w:rPr>
                <w:rFonts w:ascii="Arial" w:hAnsi="Arial" w:cs="Arial"/>
                <w:spacing w:val="-4"/>
                <w:szCs w:val="22"/>
                <w:lang w:val="en-US"/>
              </w:rPr>
              <w:t xml:space="preserve">National Statistical Committee </w:t>
            </w:r>
            <w:r w:rsidR="00940964" w:rsidRPr="00940964">
              <w:rPr>
                <w:rFonts w:ascii="Arial" w:hAnsi="Arial" w:cs="Arial"/>
                <w:spacing w:val="-4"/>
                <w:szCs w:val="22"/>
                <w:lang w:val="en-US"/>
              </w:rPr>
              <w:br/>
              <w:t>of the Republic of Belarus</w:t>
            </w:r>
            <w:r w:rsidR="00A47901" w:rsidRPr="00940964">
              <w:rPr>
                <w:rFonts w:ascii="Arial" w:hAnsi="Arial" w:cs="Arial"/>
                <w:spacing w:val="-4"/>
                <w:szCs w:val="22"/>
                <w:lang w:val="en-US"/>
              </w:rPr>
              <w:t>, 20</w:t>
            </w:r>
            <w:r w:rsidR="00047E1D" w:rsidRPr="00940964">
              <w:rPr>
                <w:rFonts w:ascii="Arial" w:hAnsi="Arial" w:cs="Arial"/>
                <w:spacing w:val="-4"/>
                <w:szCs w:val="22"/>
                <w:lang w:val="en-US"/>
              </w:rPr>
              <w:t>2</w:t>
            </w:r>
            <w:r w:rsidR="00A04EF0" w:rsidRPr="00A04EF0">
              <w:rPr>
                <w:rFonts w:ascii="Arial" w:hAnsi="Arial" w:cs="Arial"/>
                <w:spacing w:val="-4"/>
                <w:szCs w:val="22"/>
                <w:lang w:val="en-US"/>
              </w:rPr>
              <w:t>5</w:t>
            </w:r>
          </w:p>
          <w:p w:rsidR="00A47901" w:rsidRPr="00197102" w:rsidRDefault="00A47901" w:rsidP="00197102">
            <w:pPr>
              <w:rPr>
                <w:rFonts w:ascii="Arial" w:hAnsi="Arial" w:cs="Arial"/>
                <w:i/>
                <w:sz w:val="20"/>
                <w:lang w:val="fr-FR"/>
              </w:rPr>
            </w:pPr>
            <w:r w:rsidRPr="00197102">
              <w:rPr>
                <w:rFonts w:ascii="Arial" w:hAnsi="Arial" w:cs="Arial"/>
                <w:i/>
                <w:sz w:val="20"/>
                <w:lang w:val="fr-FR"/>
              </w:rPr>
              <w:t>E-mail: belstat@</w:t>
            </w:r>
            <w:r w:rsidR="00C8466D">
              <w:rPr>
                <w:rFonts w:ascii="Arial" w:hAnsi="Arial" w:cs="Arial"/>
                <w:i/>
                <w:sz w:val="20"/>
                <w:lang w:val="fr-FR"/>
              </w:rPr>
              <w:t>belstat</w:t>
            </w:r>
            <w:r w:rsidRPr="00197102">
              <w:rPr>
                <w:rFonts w:ascii="Arial" w:hAnsi="Arial" w:cs="Arial"/>
                <w:i/>
                <w:sz w:val="20"/>
                <w:lang w:val="fr-FR"/>
              </w:rPr>
              <w:t>.</w:t>
            </w:r>
            <w:r w:rsidR="00C8466D">
              <w:rPr>
                <w:rFonts w:ascii="Arial" w:hAnsi="Arial" w:cs="Arial"/>
                <w:i/>
                <w:sz w:val="20"/>
                <w:lang w:val="fr-FR"/>
              </w:rPr>
              <w:t>gov</w:t>
            </w:r>
            <w:r w:rsidRPr="00197102">
              <w:rPr>
                <w:rFonts w:ascii="Arial" w:hAnsi="Arial" w:cs="Arial"/>
                <w:i/>
                <w:sz w:val="20"/>
                <w:lang w:val="fr-FR"/>
              </w:rPr>
              <w:t>.by</w:t>
            </w:r>
          </w:p>
          <w:p w:rsidR="00F74D11" w:rsidRPr="00741DE8" w:rsidRDefault="00F74D11" w:rsidP="00197102">
            <w:pPr>
              <w:rPr>
                <w:rFonts w:ascii="Arial" w:hAnsi="Arial" w:cs="Arial"/>
                <w:spacing w:val="-4"/>
                <w:sz w:val="24"/>
                <w:lang w:val="fr-FR"/>
              </w:rPr>
            </w:pPr>
            <w:r w:rsidRPr="00741DE8">
              <w:rPr>
                <w:rFonts w:ascii="Arial" w:hAnsi="Arial" w:cs="Arial"/>
                <w:i/>
                <w:sz w:val="20"/>
                <w:lang w:val="fr-FR"/>
              </w:rPr>
              <w:t>http:/</w:t>
            </w:r>
            <w:r w:rsidR="000B048E" w:rsidRPr="00741DE8">
              <w:rPr>
                <w:rFonts w:ascii="Arial" w:hAnsi="Arial" w:cs="Arial"/>
                <w:i/>
                <w:sz w:val="20"/>
                <w:lang w:val="fr-FR"/>
              </w:rPr>
              <w:t>/</w:t>
            </w:r>
            <w:hyperlink r:id="rId11" w:history="1">
              <w:r w:rsidRPr="00741DE8">
                <w:rPr>
                  <w:rStyle w:val="a5"/>
                  <w:rFonts w:ascii="Arial" w:hAnsi="Arial" w:cs="Arial"/>
                  <w:i/>
                  <w:color w:val="auto"/>
                  <w:sz w:val="20"/>
                  <w:u w:val="none"/>
                  <w:lang w:val="fr-FR"/>
                </w:rPr>
                <w:t>www.belstat.gov.by</w:t>
              </w:r>
            </w:hyperlink>
          </w:p>
        </w:tc>
      </w:tr>
      <w:tr w:rsidR="00F56CF8" w:rsidRPr="00847598" w:rsidTr="00901ABD">
        <w:tc>
          <w:tcPr>
            <w:tcW w:w="5068" w:type="dxa"/>
            <w:shd w:val="clear" w:color="auto" w:fill="auto"/>
          </w:tcPr>
          <w:p w:rsidR="00F56CF8" w:rsidRPr="00741DE8" w:rsidRDefault="00F56CF8">
            <w:pPr>
              <w:jc w:val="both"/>
              <w:rPr>
                <w:rFonts w:ascii="Arial" w:hAnsi="Arial" w:cs="Arial"/>
                <w:spacing w:val="-4"/>
                <w:szCs w:val="22"/>
                <w:lang w:val="fr-FR"/>
              </w:rPr>
            </w:pPr>
          </w:p>
        </w:tc>
        <w:tc>
          <w:tcPr>
            <w:tcW w:w="4536" w:type="dxa"/>
          </w:tcPr>
          <w:p w:rsidR="00F56CF8" w:rsidRPr="00A04EF0" w:rsidRDefault="00F56CF8" w:rsidP="00A04EF0">
            <w:pPr>
              <w:spacing w:before="120"/>
              <w:rPr>
                <w:rFonts w:ascii="Arial" w:hAnsi="Arial" w:cs="Arial"/>
                <w:spacing w:val="-4"/>
                <w:sz w:val="20"/>
                <w:lang w:val="en-US"/>
              </w:rPr>
            </w:pPr>
            <w:r w:rsidRPr="00940964">
              <w:rPr>
                <w:rFonts w:ascii="Arial" w:hAnsi="Arial" w:cs="Arial"/>
                <w:spacing w:val="-4"/>
                <w:szCs w:val="22"/>
                <w:lang w:val="en-US"/>
              </w:rPr>
              <w:t xml:space="preserve">©  </w:t>
            </w:r>
            <w:r w:rsidR="00940964" w:rsidRPr="00940964">
              <w:rPr>
                <w:rFonts w:ascii="Arial" w:hAnsi="Arial" w:cs="Arial"/>
                <w:spacing w:val="-4"/>
                <w:szCs w:val="22"/>
                <w:lang w:val="en-US"/>
              </w:rPr>
              <w:t xml:space="preserve">State Committee on Property </w:t>
            </w:r>
            <w:r w:rsidR="00940964" w:rsidRPr="00940964">
              <w:rPr>
                <w:rFonts w:ascii="Arial" w:hAnsi="Arial" w:cs="Arial"/>
                <w:spacing w:val="-4"/>
                <w:szCs w:val="22"/>
                <w:lang w:val="en-US"/>
              </w:rPr>
              <w:br/>
            </w:r>
            <w:r w:rsidR="00940964" w:rsidRPr="00C74385">
              <w:rPr>
                <w:rFonts w:ascii="Arial" w:hAnsi="Arial" w:cs="Arial"/>
                <w:spacing w:val="-4"/>
                <w:szCs w:val="22"/>
                <w:lang w:val="en-US"/>
              </w:rPr>
              <w:t>of the Republic of Belarus</w:t>
            </w:r>
            <w:r w:rsidRPr="00940964">
              <w:rPr>
                <w:rFonts w:ascii="Arial" w:hAnsi="Arial" w:cs="Arial"/>
                <w:spacing w:val="-4"/>
                <w:szCs w:val="22"/>
                <w:lang w:val="en-US"/>
              </w:rPr>
              <w:t>, 20</w:t>
            </w:r>
            <w:r w:rsidR="00527081" w:rsidRPr="00940964">
              <w:rPr>
                <w:rFonts w:ascii="Arial" w:hAnsi="Arial" w:cs="Arial"/>
                <w:spacing w:val="-4"/>
                <w:szCs w:val="22"/>
                <w:lang w:val="en-US"/>
              </w:rPr>
              <w:t>2</w:t>
            </w:r>
            <w:r w:rsidR="00A04EF0" w:rsidRPr="00A04EF0">
              <w:rPr>
                <w:rFonts w:ascii="Arial" w:hAnsi="Arial" w:cs="Arial"/>
                <w:spacing w:val="-4"/>
                <w:szCs w:val="22"/>
                <w:lang w:val="en-US"/>
              </w:rPr>
              <w:t>5</w:t>
            </w:r>
          </w:p>
        </w:tc>
      </w:tr>
    </w:tbl>
    <w:p w:rsidR="00F74D11" w:rsidRPr="00940964" w:rsidRDefault="00F74D11" w:rsidP="001619C0">
      <w:pPr>
        <w:jc w:val="both"/>
        <w:rPr>
          <w:rFonts w:ascii="Arial" w:hAnsi="Arial" w:cs="Arial"/>
          <w:i/>
          <w:sz w:val="18"/>
          <w:szCs w:val="18"/>
          <w:lang w:val="en-US"/>
        </w:rPr>
      </w:pPr>
    </w:p>
    <w:sectPr w:rsidR="00F74D11" w:rsidRPr="00940964" w:rsidSect="0005642C">
      <w:headerReference w:type="default" r:id="rId12"/>
      <w:pgSz w:w="11906" w:h="16838" w:code="9"/>
      <w:pgMar w:top="1134" w:right="1134" w:bottom="993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A6B" w:rsidRDefault="00577A6B" w:rsidP="00C364F4">
      <w:r>
        <w:separator/>
      </w:r>
    </w:p>
  </w:endnote>
  <w:endnote w:type="continuationSeparator" w:id="0">
    <w:p w:rsidR="00577A6B" w:rsidRDefault="00577A6B" w:rsidP="00C364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A6B" w:rsidRDefault="00577A6B" w:rsidP="00C364F4">
      <w:r>
        <w:separator/>
      </w:r>
    </w:p>
  </w:footnote>
  <w:footnote w:type="continuationSeparator" w:id="0">
    <w:p w:rsidR="00577A6B" w:rsidRDefault="00577A6B" w:rsidP="00C364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17B" w:rsidRDefault="00C1317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94E16"/>
    <w:multiLevelType w:val="hybridMultilevel"/>
    <w:tmpl w:val="FF945646"/>
    <w:lvl w:ilvl="0" w:tplc="F7FC2AB0">
      <w:start w:val="6"/>
      <w:numFmt w:val="bullet"/>
      <w:lvlText w:val="–"/>
      <w:lvlJc w:val="left"/>
      <w:pPr>
        <w:ind w:left="247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9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7" w:hanging="360"/>
      </w:pPr>
      <w:rPr>
        <w:rFonts w:ascii="Wingdings" w:hAnsi="Wingdings" w:hint="default"/>
      </w:rPr>
    </w:lvl>
  </w:abstractNum>
  <w:abstractNum w:abstractNumId="1">
    <w:nsid w:val="5C9B6B98"/>
    <w:multiLevelType w:val="hybridMultilevel"/>
    <w:tmpl w:val="9350FAB6"/>
    <w:lvl w:ilvl="0" w:tplc="BF20B7EE">
      <w:start w:val="6"/>
      <w:numFmt w:val="bullet"/>
      <w:lvlText w:val="–"/>
      <w:lvlJc w:val="left"/>
      <w:pPr>
        <w:ind w:left="342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7E5"/>
    <w:rsid w:val="000018A6"/>
    <w:rsid w:val="00023022"/>
    <w:rsid w:val="00047E1D"/>
    <w:rsid w:val="00052A09"/>
    <w:rsid w:val="00053392"/>
    <w:rsid w:val="0005642C"/>
    <w:rsid w:val="00062558"/>
    <w:rsid w:val="000827AB"/>
    <w:rsid w:val="000B048E"/>
    <w:rsid w:val="000B1260"/>
    <w:rsid w:val="000B3721"/>
    <w:rsid w:val="000C41DA"/>
    <w:rsid w:val="000D59A7"/>
    <w:rsid w:val="000F273B"/>
    <w:rsid w:val="000F3C63"/>
    <w:rsid w:val="00112545"/>
    <w:rsid w:val="00122BC4"/>
    <w:rsid w:val="0012697D"/>
    <w:rsid w:val="00127B5C"/>
    <w:rsid w:val="001364B9"/>
    <w:rsid w:val="001422BC"/>
    <w:rsid w:val="001468F6"/>
    <w:rsid w:val="00151EA1"/>
    <w:rsid w:val="0015667A"/>
    <w:rsid w:val="001619C0"/>
    <w:rsid w:val="00162835"/>
    <w:rsid w:val="00182B2E"/>
    <w:rsid w:val="0018695C"/>
    <w:rsid w:val="00191DEA"/>
    <w:rsid w:val="00197102"/>
    <w:rsid w:val="001D748E"/>
    <w:rsid w:val="001E4CD2"/>
    <w:rsid w:val="00211574"/>
    <w:rsid w:val="00214273"/>
    <w:rsid w:val="00214F77"/>
    <w:rsid w:val="002350A0"/>
    <w:rsid w:val="0025041F"/>
    <w:rsid w:val="0025082C"/>
    <w:rsid w:val="002574F8"/>
    <w:rsid w:val="00285E86"/>
    <w:rsid w:val="002A18A6"/>
    <w:rsid w:val="002C16CD"/>
    <w:rsid w:val="002C3C83"/>
    <w:rsid w:val="002C457B"/>
    <w:rsid w:val="002D2C61"/>
    <w:rsid w:val="002F1DCC"/>
    <w:rsid w:val="003040DD"/>
    <w:rsid w:val="00311E12"/>
    <w:rsid w:val="00343BCB"/>
    <w:rsid w:val="00347307"/>
    <w:rsid w:val="00385406"/>
    <w:rsid w:val="0039535E"/>
    <w:rsid w:val="003978D9"/>
    <w:rsid w:val="003A1AEC"/>
    <w:rsid w:val="00405A0E"/>
    <w:rsid w:val="00422792"/>
    <w:rsid w:val="00424308"/>
    <w:rsid w:val="004420C6"/>
    <w:rsid w:val="00447A1E"/>
    <w:rsid w:val="004523E3"/>
    <w:rsid w:val="00456017"/>
    <w:rsid w:val="0046031B"/>
    <w:rsid w:val="004643DE"/>
    <w:rsid w:val="00472514"/>
    <w:rsid w:val="004A1314"/>
    <w:rsid w:val="004B36F7"/>
    <w:rsid w:val="004D5A14"/>
    <w:rsid w:val="00526025"/>
    <w:rsid w:val="00527081"/>
    <w:rsid w:val="005367FE"/>
    <w:rsid w:val="00544930"/>
    <w:rsid w:val="005639CB"/>
    <w:rsid w:val="00564A76"/>
    <w:rsid w:val="00577A6B"/>
    <w:rsid w:val="005826F7"/>
    <w:rsid w:val="005C129F"/>
    <w:rsid w:val="005E5009"/>
    <w:rsid w:val="005E6739"/>
    <w:rsid w:val="005F26B0"/>
    <w:rsid w:val="00605957"/>
    <w:rsid w:val="006122CF"/>
    <w:rsid w:val="006531A8"/>
    <w:rsid w:val="00682127"/>
    <w:rsid w:val="00684CFF"/>
    <w:rsid w:val="00685678"/>
    <w:rsid w:val="00690F2E"/>
    <w:rsid w:val="006B05E3"/>
    <w:rsid w:val="006E188B"/>
    <w:rsid w:val="006E4694"/>
    <w:rsid w:val="006E5520"/>
    <w:rsid w:val="00705BB4"/>
    <w:rsid w:val="00707C34"/>
    <w:rsid w:val="00734ED5"/>
    <w:rsid w:val="00735C24"/>
    <w:rsid w:val="00741DE8"/>
    <w:rsid w:val="007677B4"/>
    <w:rsid w:val="00773EFC"/>
    <w:rsid w:val="007861C8"/>
    <w:rsid w:val="007A077C"/>
    <w:rsid w:val="007B3BDA"/>
    <w:rsid w:val="007C1D2C"/>
    <w:rsid w:val="007D2E88"/>
    <w:rsid w:val="007E3DC3"/>
    <w:rsid w:val="007F34A2"/>
    <w:rsid w:val="007F7986"/>
    <w:rsid w:val="007F7DDF"/>
    <w:rsid w:val="008105F1"/>
    <w:rsid w:val="00817CDE"/>
    <w:rsid w:val="00837687"/>
    <w:rsid w:val="00847598"/>
    <w:rsid w:val="00861378"/>
    <w:rsid w:val="00862897"/>
    <w:rsid w:val="00882E47"/>
    <w:rsid w:val="008977E5"/>
    <w:rsid w:val="008A6AFF"/>
    <w:rsid w:val="008A75AC"/>
    <w:rsid w:val="008B4757"/>
    <w:rsid w:val="008C59C4"/>
    <w:rsid w:val="00901ABD"/>
    <w:rsid w:val="00937B29"/>
    <w:rsid w:val="00940964"/>
    <w:rsid w:val="00945CAB"/>
    <w:rsid w:val="009801A6"/>
    <w:rsid w:val="00995821"/>
    <w:rsid w:val="009A0B92"/>
    <w:rsid w:val="00A04EF0"/>
    <w:rsid w:val="00A11988"/>
    <w:rsid w:val="00A14144"/>
    <w:rsid w:val="00A33DB9"/>
    <w:rsid w:val="00A4116E"/>
    <w:rsid w:val="00A41B26"/>
    <w:rsid w:val="00A47901"/>
    <w:rsid w:val="00A56967"/>
    <w:rsid w:val="00A71162"/>
    <w:rsid w:val="00A80326"/>
    <w:rsid w:val="00A80907"/>
    <w:rsid w:val="00AA4671"/>
    <w:rsid w:val="00AB1820"/>
    <w:rsid w:val="00AB221B"/>
    <w:rsid w:val="00AB40BB"/>
    <w:rsid w:val="00AC0C30"/>
    <w:rsid w:val="00AC3F6E"/>
    <w:rsid w:val="00AD0CA9"/>
    <w:rsid w:val="00AD632B"/>
    <w:rsid w:val="00AE09A0"/>
    <w:rsid w:val="00AF6DFD"/>
    <w:rsid w:val="00B0028E"/>
    <w:rsid w:val="00B009B9"/>
    <w:rsid w:val="00B06D5B"/>
    <w:rsid w:val="00B253E4"/>
    <w:rsid w:val="00B40BA3"/>
    <w:rsid w:val="00B4646A"/>
    <w:rsid w:val="00B53497"/>
    <w:rsid w:val="00B82299"/>
    <w:rsid w:val="00B85FFA"/>
    <w:rsid w:val="00BB0A3E"/>
    <w:rsid w:val="00BB1492"/>
    <w:rsid w:val="00BC4D67"/>
    <w:rsid w:val="00BD39D3"/>
    <w:rsid w:val="00BD3EAF"/>
    <w:rsid w:val="00BE0897"/>
    <w:rsid w:val="00BF366B"/>
    <w:rsid w:val="00C115F7"/>
    <w:rsid w:val="00C1317B"/>
    <w:rsid w:val="00C1668B"/>
    <w:rsid w:val="00C23A7B"/>
    <w:rsid w:val="00C364F4"/>
    <w:rsid w:val="00C40128"/>
    <w:rsid w:val="00C74385"/>
    <w:rsid w:val="00C81204"/>
    <w:rsid w:val="00C8466D"/>
    <w:rsid w:val="00CA0DFD"/>
    <w:rsid w:val="00CF1653"/>
    <w:rsid w:val="00D0037D"/>
    <w:rsid w:val="00D3068A"/>
    <w:rsid w:val="00D31631"/>
    <w:rsid w:val="00D33DB4"/>
    <w:rsid w:val="00D34CD2"/>
    <w:rsid w:val="00D37A83"/>
    <w:rsid w:val="00D471DD"/>
    <w:rsid w:val="00D50300"/>
    <w:rsid w:val="00D74AFC"/>
    <w:rsid w:val="00D839D8"/>
    <w:rsid w:val="00DA32C0"/>
    <w:rsid w:val="00DB77B7"/>
    <w:rsid w:val="00DD7484"/>
    <w:rsid w:val="00DE6F73"/>
    <w:rsid w:val="00DF04F1"/>
    <w:rsid w:val="00DF3873"/>
    <w:rsid w:val="00DF7586"/>
    <w:rsid w:val="00E144A5"/>
    <w:rsid w:val="00E3177D"/>
    <w:rsid w:val="00E67CA7"/>
    <w:rsid w:val="00E91EBC"/>
    <w:rsid w:val="00EA29C2"/>
    <w:rsid w:val="00EA3BCC"/>
    <w:rsid w:val="00EC76E8"/>
    <w:rsid w:val="00ED3200"/>
    <w:rsid w:val="00ED5142"/>
    <w:rsid w:val="00EE2968"/>
    <w:rsid w:val="00EF1C04"/>
    <w:rsid w:val="00F03A01"/>
    <w:rsid w:val="00F2677B"/>
    <w:rsid w:val="00F32216"/>
    <w:rsid w:val="00F522D9"/>
    <w:rsid w:val="00F55C70"/>
    <w:rsid w:val="00F56CF8"/>
    <w:rsid w:val="00F5708E"/>
    <w:rsid w:val="00F60D6A"/>
    <w:rsid w:val="00F74D11"/>
    <w:rsid w:val="00FA472D"/>
    <w:rsid w:val="00FB465C"/>
    <w:rsid w:val="00FD6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i/>
      <w:sz w:val="24"/>
      <w:lang w:val="en-GB"/>
    </w:rPr>
  </w:style>
  <w:style w:type="paragraph" w:styleId="3">
    <w:name w:val="heading 3"/>
    <w:basedOn w:val="a"/>
    <w:next w:val="a"/>
    <w:qFormat/>
    <w:pPr>
      <w:keepNext/>
      <w:ind w:left="4253"/>
      <w:jc w:val="both"/>
      <w:outlineLvl w:val="2"/>
    </w:pPr>
    <w:rPr>
      <w:rFonts w:ascii="Arial" w:hAnsi="Arial"/>
      <w:i/>
      <w:sz w:val="24"/>
      <w:lang w:val="en-GB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i/>
      <w:lang w:val="en-GB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i/>
      <w:color w:val="FF0000"/>
      <w:sz w:val="18"/>
      <w:szCs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exact"/>
      <w:ind w:firstLine="851"/>
      <w:jc w:val="both"/>
    </w:pPr>
    <w:rPr>
      <w:rFonts w:ascii="Arial" w:hAnsi="Arial"/>
      <w:spacing w:val="-4"/>
      <w:sz w:val="26"/>
    </w:rPr>
  </w:style>
  <w:style w:type="paragraph" w:styleId="a4">
    <w:name w:val="Body Text"/>
    <w:basedOn w:val="a"/>
    <w:pPr>
      <w:jc w:val="both"/>
    </w:pPr>
    <w:rPr>
      <w:rFonts w:ascii="Arial" w:hAnsi="Arial"/>
      <w:i/>
      <w:sz w:val="24"/>
      <w:lang w:val="en-GB"/>
    </w:rPr>
  </w:style>
  <w:style w:type="paragraph" w:styleId="20">
    <w:name w:val="Body Text Indent 2"/>
    <w:basedOn w:val="a"/>
    <w:pPr>
      <w:ind w:left="1418"/>
      <w:jc w:val="both"/>
    </w:pPr>
    <w:rPr>
      <w:rFonts w:ascii="Arial" w:hAnsi="Arial"/>
      <w:i/>
      <w:lang w:val="en-GB"/>
    </w:rPr>
  </w:style>
  <w:style w:type="paragraph" w:styleId="30">
    <w:name w:val="Body Text Indent 3"/>
    <w:basedOn w:val="a"/>
    <w:pPr>
      <w:ind w:firstLine="851"/>
      <w:jc w:val="both"/>
    </w:pPr>
    <w:rPr>
      <w:rFonts w:ascii="Arial" w:hAnsi="Arial"/>
      <w:i/>
      <w:lang w:val="en-GB"/>
    </w:rPr>
  </w:style>
  <w:style w:type="paragraph" w:styleId="21">
    <w:name w:val="Body Text 2"/>
    <w:basedOn w:val="a"/>
    <w:pPr>
      <w:jc w:val="both"/>
    </w:pPr>
    <w:rPr>
      <w:rFonts w:ascii="Arial" w:hAnsi="Arial"/>
      <w:i/>
      <w:lang w:val="en-GB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A6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55C7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rsid w:val="00C364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364F4"/>
    <w:rPr>
      <w:sz w:val="22"/>
    </w:rPr>
  </w:style>
  <w:style w:type="paragraph" w:styleId="a9">
    <w:name w:val="footer"/>
    <w:basedOn w:val="a"/>
    <w:link w:val="aa"/>
    <w:rsid w:val="00C364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64F4"/>
    <w:rPr>
      <w:sz w:val="22"/>
    </w:rPr>
  </w:style>
  <w:style w:type="paragraph" w:styleId="ab">
    <w:name w:val="List Paragraph"/>
    <w:basedOn w:val="a"/>
    <w:uiPriority w:val="34"/>
    <w:qFormat/>
    <w:rsid w:val="003A1A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2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pPr>
      <w:keepNext/>
      <w:jc w:val="both"/>
      <w:outlineLvl w:val="1"/>
    </w:pPr>
    <w:rPr>
      <w:rFonts w:ascii="Arial" w:hAnsi="Arial"/>
      <w:i/>
      <w:sz w:val="24"/>
      <w:lang w:val="en-GB"/>
    </w:rPr>
  </w:style>
  <w:style w:type="paragraph" w:styleId="3">
    <w:name w:val="heading 3"/>
    <w:basedOn w:val="a"/>
    <w:next w:val="a"/>
    <w:qFormat/>
    <w:pPr>
      <w:keepNext/>
      <w:ind w:left="4253"/>
      <w:jc w:val="both"/>
      <w:outlineLvl w:val="2"/>
    </w:pPr>
    <w:rPr>
      <w:rFonts w:ascii="Arial" w:hAnsi="Arial"/>
      <w:i/>
      <w:sz w:val="24"/>
      <w:lang w:val="en-GB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i/>
      <w:lang w:val="en-GB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Tahoma" w:hAnsi="Tahoma" w:cs="Tahoma"/>
      <w:i/>
      <w:color w:val="FF0000"/>
      <w:sz w:val="18"/>
      <w:szCs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60" w:lineRule="exact"/>
      <w:ind w:firstLine="851"/>
      <w:jc w:val="both"/>
    </w:pPr>
    <w:rPr>
      <w:rFonts w:ascii="Arial" w:hAnsi="Arial"/>
      <w:spacing w:val="-4"/>
      <w:sz w:val="26"/>
    </w:rPr>
  </w:style>
  <w:style w:type="paragraph" w:styleId="a4">
    <w:name w:val="Body Text"/>
    <w:basedOn w:val="a"/>
    <w:pPr>
      <w:jc w:val="both"/>
    </w:pPr>
    <w:rPr>
      <w:rFonts w:ascii="Arial" w:hAnsi="Arial"/>
      <w:i/>
      <w:sz w:val="24"/>
      <w:lang w:val="en-GB"/>
    </w:rPr>
  </w:style>
  <w:style w:type="paragraph" w:styleId="20">
    <w:name w:val="Body Text Indent 2"/>
    <w:basedOn w:val="a"/>
    <w:pPr>
      <w:ind w:left="1418"/>
      <w:jc w:val="both"/>
    </w:pPr>
    <w:rPr>
      <w:rFonts w:ascii="Arial" w:hAnsi="Arial"/>
      <w:i/>
      <w:lang w:val="en-GB"/>
    </w:rPr>
  </w:style>
  <w:style w:type="paragraph" w:styleId="30">
    <w:name w:val="Body Text Indent 3"/>
    <w:basedOn w:val="a"/>
    <w:pPr>
      <w:ind w:firstLine="851"/>
      <w:jc w:val="both"/>
    </w:pPr>
    <w:rPr>
      <w:rFonts w:ascii="Arial" w:hAnsi="Arial"/>
      <w:i/>
      <w:lang w:val="en-GB"/>
    </w:rPr>
  </w:style>
  <w:style w:type="paragraph" w:styleId="21">
    <w:name w:val="Body Text 2"/>
    <w:basedOn w:val="a"/>
    <w:pPr>
      <w:jc w:val="both"/>
    </w:pPr>
    <w:rPr>
      <w:rFonts w:ascii="Arial" w:hAnsi="Arial"/>
      <w:i/>
      <w:lang w:val="en-GB"/>
    </w:rPr>
  </w:style>
  <w:style w:type="character" w:styleId="a5">
    <w:name w:val="Hyperlink"/>
    <w:rPr>
      <w:color w:val="0000FF"/>
      <w:u w:val="single"/>
    </w:rPr>
  </w:style>
  <w:style w:type="table" w:styleId="a6">
    <w:name w:val="Table Grid"/>
    <w:basedOn w:val="a1"/>
    <w:rsid w:val="008A6AF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55C7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header"/>
    <w:basedOn w:val="a"/>
    <w:link w:val="a8"/>
    <w:rsid w:val="00C364F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C364F4"/>
    <w:rPr>
      <w:sz w:val="22"/>
    </w:rPr>
  </w:style>
  <w:style w:type="paragraph" w:styleId="a9">
    <w:name w:val="footer"/>
    <w:basedOn w:val="a"/>
    <w:link w:val="aa"/>
    <w:rsid w:val="00C364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364F4"/>
    <w:rPr>
      <w:sz w:val="22"/>
    </w:rPr>
  </w:style>
  <w:style w:type="paragraph" w:styleId="ab">
    <w:name w:val="List Paragraph"/>
    <w:basedOn w:val="a"/>
    <w:uiPriority w:val="34"/>
    <w:qFormat/>
    <w:rsid w:val="003A1A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elstat.gov.by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www.belstat.gov.by/metodologiya/metodiki-po-formirovaniyu-i-raschetu-statistichesk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belstat.gov.by/metodologiya/kratkiy-glossariy-statisticheskikh-termin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668A67-7D85-4631-A220-9D516748D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302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Редакционная коллегия</vt:lpstr>
    </vt:vector>
  </TitlesOfParts>
  <Company>ИНФОРМСТАТ</Company>
  <LinksUpToDate>false</LinksUpToDate>
  <CharactersWithSpaces>2696</CharactersWithSpaces>
  <SharedDoc>false</SharedDoc>
  <HLinks>
    <vt:vector size="6" baseType="variant">
      <vt:variant>
        <vt:i4>7929905</vt:i4>
      </vt:variant>
      <vt:variant>
        <vt:i4>0</vt:i4>
      </vt:variant>
      <vt:variant>
        <vt:i4>0</vt:i4>
      </vt:variant>
      <vt:variant>
        <vt:i4>5</vt:i4>
      </vt:variant>
      <vt:variant>
        <vt:lpwstr>http://www.belstat.gov.by/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Редакционная коллегия</dc:title>
  <dc:creator>Белстат</dc:creator>
  <cp:lastModifiedBy>Леднева Юлия Сергеевна</cp:lastModifiedBy>
  <cp:revision>12</cp:revision>
  <cp:lastPrinted>2023-06-28T07:03:00Z</cp:lastPrinted>
  <dcterms:created xsi:type="dcterms:W3CDTF">2025-07-16T07:09:00Z</dcterms:created>
  <dcterms:modified xsi:type="dcterms:W3CDTF">2025-07-24T13:02:00Z</dcterms:modified>
</cp:coreProperties>
</file>