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531BAC" w:rsidP="00372C33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A04CF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53447" w:rsidRPr="00A1762B">
        <w:rPr>
          <w:rFonts w:ascii="Arial" w:hAnsi="Arial" w:cs="Arial"/>
          <w:b/>
          <w:sz w:val="28"/>
          <w:szCs w:val="28"/>
        </w:rPr>
        <w:t>Natural</w:t>
      </w:r>
      <w:proofErr w:type="spellEnd"/>
      <w:r w:rsidR="00353447" w:rsidRPr="00A176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53447" w:rsidRPr="00A1762B">
        <w:rPr>
          <w:rFonts w:ascii="Arial" w:hAnsi="Arial" w:cs="Arial"/>
          <w:b/>
          <w:sz w:val="28"/>
          <w:szCs w:val="28"/>
        </w:rPr>
        <w:t>assets</w:t>
      </w:r>
      <w:proofErr w:type="spellEnd"/>
    </w:p>
    <w:p w:rsidR="006270B9" w:rsidRPr="00353447" w:rsidRDefault="00353447" w:rsidP="00372C33">
      <w:pPr>
        <w:rPr>
          <w:rFonts w:ascii="Arial" w:hAnsi="Arial" w:cs="Arial"/>
          <w:i/>
          <w:sz w:val="24"/>
          <w:szCs w:val="24"/>
          <w:lang w:val="en-US"/>
        </w:rPr>
      </w:pPr>
      <w:r w:rsidRPr="006C2651">
        <w:rPr>
          <w:rFonts w:ascii="Arial" w:eastAsia="Arial" w:hAnsi="Arial" w:cs="Arial"/>
          <w:sz w:val="28"/>
          <w:lang w:val="en-US"/>
        </w:rPr>
        <w:t>Metadata</w:t>
      </w:r>
      <w:r w:rsidR="006270B9">
        <w:rPr>
          <w:rFonts w:ascii="Arial" w:hAnsi="Arial" w:cs="Arial"/>
          <w:sz w:val="28"/>
          <w:szCs w:val="28"/>
        </w:rPr>
        <w:t xml:space="preserve"> </w:t>
      </w:r>
    </w:p>
    <w:p w:rsidR="006270B9" w:rsidRDefault="006270B9" w:rsidP="00372C33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2E044E" w:rsidRDefault="00796865" w:rsidP="00372C33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proofErr w:type="spellStart"/>
      <w:r w:rsidR="00353447" w:rsidRPr="00353447">
        <w:rPr>
          <w:rFonts w:ascii="Times New Roman" w:hAnsi="Times New Roman"/>
          <w:b/>
          <w:i/>
          <w:sz w:val="26"/>
          <w:szCs w:val="26"/>
        </w:rPr>
        <w:t>Land</w:t>
      </w:r>
      <w:proofErr w:type="spellEnd"/>
      <w:r w:rsidR="00353447" w:rsidRPr="0035344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353447" w:rsidRPr="00353447">
        <w:rPr>
          <w:rFonts w:ascii="Times New Roman" w:hAnsi="Times New Roman"/>
          <w:b/>
          <w:i/>
          <w:sz w:val="26"/>
          <w:szCs w:val="26"/>
        </w:rPr>
        <w:t>resources</w:t>
      </w:r>
      <w:proofErr w:type="spellEnd"/>
    </w:p>
    <w:p w:rsidR="00353447" w:rsidRPr="00353447" w:rsidRDefault="00353447" w:rsidP="0035344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Land</w:t>
      </w:r>
      <w:proofErr w:type="spellEnd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area</w:t>
      </w:r>
      <w:proofErr w:type="spellEnd"/>
    </w:p>
    <w:p w:rsidR="00353447" w:rsidRPr="00353447" w:rsidRDefault="00353447" w:rsidP="0035344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Area</w:t>
      </w:r>
      <w:proofErr w:type="spellEnd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of</w:t>
      </w:r>
      <w:proofErr w:type="spellEnd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agricultural</w:t>
      </w:r>
      <w:proofErr w:type="spellEnd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land</w:t>
      </w:r>
      <w:proofErr w:type="spellEnd"/>
      <w:r>
        <w:rPr>
          <w:rStyle w:val="a5"/>
          <w:rFonts w:ascii="Times New Roman" w:hAnsi="Times New Roman"/>
          <w:i/>
          <w:color w:val="auto"/>
          <w:sz w:val="24"/>
          <w:szCs w:val="24"/>
        </w:rPr>
        <w:fldChar w:fldCharType="begin"/>
      </w:r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instrText xml:space="preserve"> HYPERLINK \l "Площадь_сх_земель_тыс_га" </w:instrText>
      </w:r>
      <w:r>
        <w:rPr>
          <w:rStyle w:val="a5"/>
          <w:rFonts w:ascii="Times New Roman" w:hAnsi="Times New Roman"/>
          <w:i/>
          <w:color w:val="auto"/>
          <w:sz w:val="24"/>
          <w:szCs w:val="24"/>
        </w:rPr>
        <w:fldChar w:fldCharType="end"/>
      </w:r>
    </w:p>
    <w:p w:rsidR="00531BAC" w:rsidRPr="004D218E" w:rsidRDefault="00353447" w:rsidP="0035344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Forest</w:t>
      </w:r>
      <w:proofErr w:type="spellEnd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land</w:t>
      </w:r>
      <w:proofErr w:type="spellEnd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53447">
        <w:rPr>
          <w:rStyle w:val="a5"/>
          <w:rFonts w:ascii="Times New Roman" w:hAnsi="Times New Roman"/>
          <w:i/>
          <w:color w:val="auto"/>
          <w:sz w:val="24"/>
          <w:szCs w:val="24"/>
        </w:rPr>
        <w:t>area</w:t>
      </w:r>
      <w:proofErr w:type="spellEnd"/>
      <w:r w:rsidRPr="004D218E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353447" w:rsidRPr="00252FB5" w:rsidRDefault="00353447" w:rsidP="0035344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</w:pPr>
      <w:r w:rsidRPr="00252FB5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Land area under swamps and</w:t>
      </w:r>
      <w:r w:rsidR="000F109C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 xml:space="preserve"> surface </w:t>
      </w:r>
      <w:r w:rsidRPr="00252FB5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water bodies</w:t>
      </w:r>
    </w:p>
    <w:p w:rsidR="00531BAC" w:rsidRPr="00353447" w:rsidRDefault="00353447" w:rsidP="0035344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</w:pPr>
      <w:r w:rsidRPr="00353447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Area of other land</w:t>
      </w:r>
    </w:p>
    <w:p w:rsidR="00482C3B" w:rsidRPr="00353447" w:rsidRDefault="00482C3B" w:rsidP="00044C50">
      <w:pPr>
        <w:spacing w:before="60" w:after="60"/>
        <w:jc w:val="left"/>
        <w:rPr>
          <w:rFonts w:ascii="Arial" w:hAnsi="Arial" w:cs="Arial"/>
          <w:b/>
          <w:sz w:val="28"/>
          <w:szCs w:val="28"/>
          <w:lang w:val="en-US"/>
        </w:rPr>
      </w:pPr>
      <w:r w:rsidRPr="00353447">
        <w:rPr>
          <w:rFonts w:ascii="Arial" w:hAnsi="Arial" w:cs="Arial"/>
          <w:b/>
          <w:sz w:val="28"/>
          <w:szCs w:val="28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353447" w:rsidRPr="0027745F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620" w:type="dxa"/>
            <w:shd w:val="clear" w:color="auto" w:fill="auto"/>
          </w:tcPr>
          <w:p w:rsidR="00353447" w:rsidRPr="002E044E" w:rsidRDefault="00353447" w:rsidP="00044C50">
            <w:pPr>
              <w:spacing w:before="60" w:after="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344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Land</w:t>
            </w:r>
            <w:proofErr w:type="spellEnd"/>
            <w:r w:rsidRPr="0035344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5344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area</w:t>
            </w:r>
            <w:proofErr w:type="spellEnd"/>
          </w:p>
        </w:tc>
      </w:tr>
      <w:tr w:rsidR="00353447" w:rsidRPr="00DD1399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353447" w:rsidRPr="00044C50" w:rsidRDefault="00252FB5" w:rsidP="001576B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State 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76B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DD1399" w:rsidRPr="006042D7" w:rsidRDefault="006042D7" w:rsidP="001576B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D1399"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dministrative data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availability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land distribution </w:t>
            </w:r>
            <w:r w:rsidR="00DD1399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D15160"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according to </w:t>
            </w:r>
            <w:r w:rsidR="00D151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DD1399"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departmental </w:t>
            </w:r>
            <w:r w:rsidR="00D15160" w:rsidRPr="001D36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survey </w:t>
            </w:r>
            <w:r w:rsidR="00D15160" w:rsidRPr="00357246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1399" w:rsidRPr="006042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22</w:t>
            </w:r>
            <w:r w:rsidRPr="006042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6042D7">
              <w:rPr>
                <w:rFonts w:ascii="Times New Roman" w:hAnsi="Times New Roman"/>
                <w:i/>
                <w:sz w:val="24"/>
                <w:szCs w:val="24"/>
              </w:rPr>
              <w:t>зем</w:t>
            </w:r>
            <w:proofErr w:type="spellEnd"/>
            <w:r w:rsidR="00D151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наличии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распределении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894BC7" w:rsidRPr="00894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894BC7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Report on the availability and distribution of land</w:t>
            </w:r>
            <w:r w:rsidR="00894BC7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76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353447" w:rsidRPr="00B725A2" w:rsidRDefault="006042D7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 area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determined </w:t>
            </w:r>
            <w:r w:rsid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 </w:t>
            </w:r>
            <w:r w:rsid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total area of 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>land within the bor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ders of the Republic of Belarus.</w:t>
            </w:r>
          </w:p>
          <w:p w:rsidR="00353447" w:rsidRPr="00B725A2" w:rsidRDefault="006042D7" w:rsidP="00B725A2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>and resources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land, land plots that are used or can be used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economic or other activities.</w:t>
            </w:r>
          </w:p>
        </w:tc>
      </w:tr>
      <w:tr w:rsidR="00353447" w:rsidRPr="0027745F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353447" w:rsidRPr="0027745F" w:rsidRDefault="006042D7" w:rsidP="00044C50">
            <w:pPr>
              <w:spacing w:before="60" w:after="6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housand</w:t>
            </w:r>
            <w:r w:rsidR="00353447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447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hectares</w:t>
            </w:r>
            <w:proofErr w:type="spellEnd"/>
          </w:p>
        </w:tc>
      </w:tr>
      <w:tr w:rsidR="00353447" w:rsidRPr="0027745F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353447" w:rsidRPr="0027745F" w:rsidRDefault="006042D7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252FB5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52FB5">
              <w:rPr>
                <w:rFonts w:ascii="Times New Roman" w:hAnsi="Times New Roman"/>
                <w:sz w:val="24"/>
                <w:szCs w:val="24"/>
                <w:lang w:val="en-US"/>
              </w:rPr>
              <w:t>regions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Minsk</w:t>
            </w:r>
            <w:proofErr w:type="spellEnd"/>
            <w:r w:rsidR="00252FB5" w:rsidRPr="00252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  <w:r w:rsidR="00252FB5" w:rsidRPr="002774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3447" w:rsidRPr="00BB2F59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B725A2" w:rsidRDefault="006042D7" w:rsidP="00B725A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B725A2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etailed information </w:t>
            </w:r>
            <w:r w:rsidR="00B725A2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25A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25A2">
              <w:rPr>
                <w:rFonts w:ascii="Times New Roman" w:hAnsi="Times New Roman"/>
                <w:sz w:val="24"/>
                <w:szCs w:val="24"/>
                <w:lang w:val="en-US"/>
              </w:rPr>
              <w:t>availability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25A2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25A2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25A2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distribution</w:t>
            </w:r>
            <w:r w:rsidR="00B725A2" w:rsidRPr="00B725A2">
              <w:rPr>
                <w:lang w:val="en-US"/>
              </w:rPr>
              <w:t xml:space="preserve"> 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their types </w:t>
            </w:r>
            <w:r w:rsidR="00B725A2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B725A2"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website of the State </w:t>
            </w:r>
            <w:r w:rsidR="00B725A2"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 w:rsid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76B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B725A2"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  <w:r w:rsidR="00B725A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53447" w:rsidRPr="00BB2F59" w:rsidRDefault="00184D82" w:rsidP="00B725A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hyperlink r:id="rId8" w:history="1">
                <w:r w:rsidR="00B9312E" w:rsidRPr="001349CB">
                  <w:rPr>
                    <w:rStyle w:val="a5"/>
                    <w:rFonts w:ascii="Times New Roman" w:hAnsi="Times New Roman"/>
                    <w:sz w:val="24"/>
                    <w:szCs w:val="24"/>
                  </w:rPr>
                  <w:t>http://www.gki.gov.by/ru/activity_branches-land-reestr/</w:t>
                </w:r>
              </w:hyperlink>
            </w:hyperlink>
          </w:p>
        </w:tc>
      </w:tr>
    </w:tbl>
    <w:p w:rsidR="00482C3B" w:rsidRPr="00B725A2" w:rsidRDefault="00482C3B" w:rsidP="00044C50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B725A2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353447" w:rsidRPr="00B725A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1" w:name="Площадь_сх_земель_тыс_га"/>
        <w:bookmarkEnd w:id="1"/>
        <w:tc>
          <w:tcPr>
            <w:tcW w:w="7620" w:type="dxa"/>
            <w:shd w:val="clear" w:color="auto" w:fill="auto"/>
          </w:tcPr>
          <w:p w:rsidR="00353447" w:rsidRPr="00252FB5" w:rsidRDefault="00353447" w:rsidP="00252FB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252F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HYPERLINK  \l "_top" </w:instrTex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2FB5" w:rsidRPr="00252FB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Area of agricultural land</w: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53447" w:rsidRPr="00DD1399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353447" w:rsidRPr="00252FB5" w:rsidRDefault="00252FB5" w:rsidP="001576B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State 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76B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353447" w:rsidRPr="00D15160" w:rsidRDefault="006042D7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dministrative data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availability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 land distribution (</w:t>
            </w:r>
            <w:r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according 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departmental 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survey </w:t>
            </w:r>
            <w:r w:rsidRPr="00357246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22-</w:t>
            </w:r>
            <w:proofErr w:type="spellStart"/>
            <w:r w:rsidRPr="006042D7">
              <w:rPr>
                <w:rFonts w:ascii="Times New Roman" w:hAnsi="Times New Roman"/>
                <w:i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наличии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распределении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BB2F59" w:rsidRPr="00BB2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B2F59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BB2F59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Report on the availability and distribution of land</w:t>
            </w:r>
            <w:r w:rsidR="00BB2F59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for 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282239" w:rsidRPr="00B725A2" w:rsidRDefault="006042D7" w:rsidP="0028223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Area of agricultural land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determined </w:t>
            </w:r>
            <w:r w:rsid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 the area of agricultural </w:t>
            </w:r>
            <w:r w:rsidR="00282239" w:rsidRPr="00B725A2">
              <w:rPr>
                <w:rFonts w:ascii="Times New Roman" w:hAnsi="Times New Roman"/>
                <w:sz w:val="24"/>
                <w:szCs w:val="24"/>
                <w:lang w:val="en-US"/>
              </w:rPr>
              <w:t>land within the bor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ders of the Republic of Belarus.</w:t>
            </w:r>
          </w:p>
          <w:p w:rsidR="00353447" w:rsidRPr="009D05E5" w:rsidRDefault="006042D7" w:rsidP="0028223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>gricultural land is land regularly us</w:t>
            </w:r>
            <w:r w:rsidR="009D05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 for agricultural production </w:t>
            </w:r>
            <w:r w:rsidR="009D05E5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and</w:t>
            </w:r>
            <w:r w:rsidR="00282239" w:rsidRPr="009D05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includes arable land, fallow land, land under permanent crops, </w:t>
            </w:r>
            <w:r w:rsidR="009D05E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282239" w:rsidRPr="009D05E5">
              <w:rPr>
                <w:rFonts w:ascii="Times New Roman" w:hAnsi="Times New Roman"/>
                <w:sz w:val="24"/>
                <w:szCs w:val="24"/>
                <w:lang w:val="en-US"/>
              </w:rPr>
              <w:t>and meadow land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353447" w:rsidRPr="00353447" w:rsidRDefault="006042D7" w:rsidP="00044C50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housand</w:t>
            </w:r>
            <w:r w:rsidR="00353447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hectares;</w:t>
            </w:r>
          </w:p>
          <w:p w:rsidR="00353447" w:rsidRPr="00353447" w:rsidRDefault="006042D7" w:rsidP="00044C50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252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ercent</w:t>
            </w:r>
            <w:r w:rsidR="00353447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of total land area</w:t>
            </w:r>
          </w:p>
        </w:tc>
      </w:tr>
      <w:tr w:rsidR="00353447" w:rsidRPr="0027745F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353447" w:rsidRPr="0027745F" w:rsidRDefault="006042D7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252FB5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52FB5">
              <w:rPr>
                <w:rFonts w:ascii="Times New Roman" w:hAnsi="Times New Roman"/>
                <w:sz w:val="24"/>
                <w:szCs w:val="24"/>
                <w:lang w:val="en-US"/>
              </w:rPr>
              <w:t>regions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Minsk</w:t>
            </w:r>
            <w:proofErr w:type="spellEnd"/>
            <w:r w:rsidR="00252FB5" w:rsidRPr="00252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  <w:r w:rsidR="00252FB5" w:rsidRPr="002774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6042D7" w:rsidRDefault="006042D7" w:rsidP="006042D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Area of agricultural land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on the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Belstat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website within the framework of the 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Shared Environmental Information System (SEIS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F2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indicator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since 1990):</w:t>
            </w:r>
          </w:p>
          <w:p w:rsidR="005267F1" w:rsidRDefault="00184D82" w:rsidP="006042D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5267F1" w:rsidRPr="0020088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https://www.belstat.gov.by/en/ofitsialnaya-statistika/macroeconomy-and-environment/okruzhayuschaya-sreda/the-shared-environmental-information-system/f.-application-of-fertilizers/f2-application-of-fertilizers/</w:t>
              </w:r>
            </w:hyperlink>
          </w:p>
          <w:p w:rsidR="006042D7" w:rsidRDefault="006042D7" w:rsidP="006042D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etailed information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availability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distribution</w:t>
            </w:r>
            <w:r w:rsidRPr="00B725A2">
              <w:rPr>
                <w:lang w:val="en-US"/>
              </w:rPr>
              <w:t xml:space="preserve"> 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their types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website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76B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9312E" w:rsidRPr="00B9312E" w:rsidRDefault="00184D82" w:rsidP="00B9312E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lang w:val="en-US"/>
              </w:rPr>
            </w:pPr>
            <w:hyperlink r:id="rId10" w:history="1">
              <w:r w:rsidR="00B9312E" w:rsidRPr="00B9312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http://www.gki.gov.by/ru/activity_branches-land-reestr/</w:t>
              </w:r>
            </w:hyperlink>
          </w:p>
          <w:p w:rsidR="00353447" w:rsidRDefault="006042D7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82239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etailed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>
              <w:rPr>
                <w:rFonts w:ascii="Times New Roman" w:hAnsi="Times New Roman"/>
                <w:sz w:val="24"/>
                <w:szCs w:val="24"/>
                <w:lang w:val="en-US"/>
              </w:rPr>
              <w:t>area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>
              <w:rPr>
                <w:rFonts w:ascii="Times New Roman" w:hAnsi="Times New Roman"/>
                <w:sz w:val="24"/>
                <w:szCs w:val="24"/>
                <w:lang w:val="en-US"/>
              </w:rPr>
              <w:t>agricultural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 w:rsidRPr="00B725A2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 w:rsidRPr="00B725A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2239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282239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statistical </w:t>
            </w:r>
            <w:r w:rsidR="00184D82">
              <w:rPr>
                <w:rFonts w:ascii="Times New Roman" w:hAnsi="Times New Roman"/>
                <w:sz w:val="24"/>
                <w:szCs w:val="24"/>
                <w:lang w:val="en-US"/>
              </w:rPr>
              <w:t>short data book</w:t>
            </w:r>
            <w:r w:rsidR="00282239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282239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282239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282239" w:rsidRPr="00282239">
              <w:rPr>
                <w:rFonts w:ascii="Times New Roman" w:hAnsi="Times New Roman"/>
                <w:sz w:val="24"/>
                <w:szCs w:val="24"/>
                <w:lang w:val="en-US"/>
              </w:rPr>
              <w:t>Agriculture of the Republic of Belarus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353447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9D05E5">
              <w:rPr>
                <w:rFonts w:ascii="Times New Roman" w:hAnsi="Times New Roman"/>
                <w:sz w:val="24"/>
                <w:szCs w:val="24"/>
                <w:lang w:val="en-US"/>
              </w:rPr>
              <w:t>periodicity of publication </w:t>
            </w:r>
            <w:r w:rsidR="00282239" w:rsidRPr="00D638A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D05E5">
              <w:rPr>
                <w:rFonts w:ascii="Times New Roman" w:hAnsi="Times New Roman"/>
                <w:sz w:val="24"/>
                <w:szCs w:val="24"/>
                <w:lang w:val="en-US"/>
              </w:rPr>
              <w:t> annually</w:t>
            </w:r>
            <w:r w:rsidR="00353447" w:rsidRPr="002822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)</w:t>
            </w:r>
            <w:r w:rsidR="00353447" w:rsidRPr="0028223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bookmarkStart w:id="2" w:name="_GoBack"/>
            <w:bookmarkEnd w:id="2"/>
          </w:p>
          <w:p w:rsidR="00353447" w:rsidRPr="005267F1" w:rsidRDefault="00184D82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5267F1" w:rsidRPr="0020088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https://www.belstat.gov.by/en/ofitsialnaya-statistika/real-sector-of-the-economy/selskoe-hozyaistvo/agriculture/publications/</w:t>
              </w:r>
            </w:hyperlink>
          </w:p>
        </w:tc>
      </w:tr>
    </w:tbl>
    <w:p w:rsidR="00482C3B" w:rsidRPr="00601912" w:rsidRDefault="00482C3B" w:rsidP="00044C50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601912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353447" w:rsidRPr="00252FB5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3" w:name="Порщадь_лесных_земель_тыс_га"/>
        <w:bookmarkEnd w:id="3"/>
        <w:tc>
          <w:tcPr>
            <w:tcW w:w="7620" w:type="dxa"/>
            <w:shd w:val="clear" w:color="auto" w:fill="auto"/>
          </w:tcPr>
          <w:p w:rsidR="00353447" w:rsidRPr="00252FB5" w:rsidRDefault="00353447" w:rsidP="00252FB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252F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HYPERLINK  \l "_top" </w:instrTex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2FB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Forest land area</w: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53447" w:rsidRPr="00DD1399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353447" w:rsidRPr="00252FB5" w:rsidRDefault="00252FB5" w:rsidP="001576B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State 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76B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353447" w:rsidRPr="00D15160" w:rsidRDefault="006042D7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dministrative data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availability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 land distribution (</w:t>
            </w:r>
            <w:r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according 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departmental 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survey </w:t>
            </w:r>
            <w:r w:rsidRPr="00357246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22-</w:t>
            </w:r>
            <w:proofErr w:type="spellStart"/>
            <w:r w:rsidRPr="006042D7">
              <w:rPr>
                <w:rFonts w:ascii="Times New Roman" w:hAnsi="Times New Roman"/>
                <w:i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наличии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распределении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BB2F59" w:rsidRPr="00BB2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B2F59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BB2F59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Report on the availability and distribution of land</w:t>
            </w:r>
            <w:r w:rsidR="00BB2F59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76B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9D05E5" w:rsidRDefault="006042D7" w:rsidP="009D05E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Forest land area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w:r w:rsidR="009D05E5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determined </w:t>
            </w:r>
            <w:r w:rsidR="009D05E5">
              <w:rPr>
                <w:rFonts w:ascii="Times New Roman" w:hAnsi="Times New Roman"/>
                <w:sz w:val="24"/>
                <w:szCs w:val="24"/>
                <w:lang w:val="en-US"/>
              </w:rPr>
              <w:t>as the</w:t>
            </w:r>
            <w:r w:rsidR="009D05E5" w:rsidRPr="009D05E5">
              <w:rPr>
                <w:lang w:val="en-US"/>
              </w:rPr>
              <w:t xml:space="preserve"> </w:t>
            </w:r>
            <w:r w:rsidR="009D05E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9D05E5" w:rsidRPr="009D05E5">
              <w:rPr>
                <w:rFonts w:ascii="Times New Roman" w:hAnsi="Times New Roman"/>
                <w:sz w:val="24"/>
                <w:szCs w:val="24"/>
                <w:lang w:val="en-US"/>
              </w:rPr>
              <w:t>orest land</w:t>
            </w:r>
            <w:r w:rsidR="009D05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area </w:t>
            </w:r>
            <w:r w:rsidR="009D05E5" w:rsidRPr="00B725A2">
              <w:rPr>
                <w:rFonts w:ascii="Times New Roman" w:hAnsi="Times New Roman"/>
                <w:sz w:val="24"/>
                <w:szCs w:val="24"/>
                <w:lang w:val="en-US"/>
              </w:rPr>
              <w:t>within the bor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ders of the Republic of Belarus.</w:t>
            </w:r>
          </w:p>
          <w:p w:rsidR="00353447" w:rsidRPr="00ED0812" w:rsidRDefault="006042D7" w:rsidP="003B2B1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orest land is </w:t>
            </w:r>
            <w:r w:rsidR="00703D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 covered 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>with forest as well as not covered with forest but intended for its regeneration (cuttings, burned out areas, clearings, waste grounds, glades, lost timber stands, areas under nurseries, plantations and</w:t>
            </w:r>
            <w:r w:rsidR="003B2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non-closed forest crops, etc.)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252FB5" w:rsidRPr="00353447" w:rsidRDefault="006042D7" w:rsidP="00252FB5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252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housand</w:t>
            </w:r>
            <w:r w:rsidR="00252FB5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hectares;</w:t>
            </w:r>
          </w:p>
          <w:p w:rsidR="00353447" w:rsidRPr="00252FB5" w:rsidRDefault="006042D7" w:rsidP="00252FB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252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ercent</w:t>
            </w:r>
            <w:r w:rsidR="00252FB5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of total land area</w:t>
            </w:r>
          </w:p>
        </w:tc>
      </w:tr>
      <w:tr w:rsidR="00353447" w:rsidRPr="0027745F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353447" w:rsidRPr="0027745F" w:rsidRDefault="006042D7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252FB5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52FB5">
              <w:rPr>
                <w:rFonts w:ascii="Times New Roman" w:hAnsi="Times New Roman"/>
                <w:sz w:val="24"/>
                <w:szCs w:val="24"/>
                <w:lang w:val="en-US"/>
              </w:rPr>
              <w:t>regions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Minsk</w:t>
            </w:r>
            <w:proofErr w:type="spellEnd"/>
            <w:r w:rsidR="00252FB5" w:rsidRPr="00252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  <w:r w:rsidR="00252FB5" w:rsidRPr="002774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6042D7" w:rsidRDefault="006042D7" w:rsidP="006042D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etailed information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availability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distribution</w:t>
            </w:r>
            <w:r w:rsidRPr="00B725A2">
              <w:rPr>
                <w:lang w:val="en-US"/>
              </w:rPr>
              <w:t xml:space="preserve"> 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their types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website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3D6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53447" w:rsidRPr="0040038A" w:rsidRDefault="00184D82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2" w:history="1">
              <w:r w:rsidR="00BB2F59" w:rsidRPr="00BB2F5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http://www.gki.gov.by/ru/activity_branches-land-reestr/</w:t>
              </w:r>
            </w:hyperlink>
          </w:p>
        </w:tc>
      </w:tr>
    </w:tbl>
    <w:p w:rsidR="00482C3B" w:rsidRPr="00B725A2" w:rsidRDefault="00482C3B" w:rsidP="00044C50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B725A2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4" w:name="Порщадь_земель_под_болотами_тыс_га"/>
        <w:tc>
          <w:tcPr>
            <w:tcW w:w="7619" w:type="dxa"/>
            <w:shd w:val="clear" w:color="auto" w:fill="auto"/>
          </w:tcPr>
          <w:p w:rsidR="00353447" w:rsidRPr="00252FB5" w:rsidRDefault="00353447" w:rsidP="00252FB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252F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HYPERLINK  \l "_top" </w:instrTex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2FB5" w:rsidRPr="00252FB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Land area under swamps and </w:t>
            </w:r>
            <w:r w:rsidR="007132CF" w:rsidRPr="007132C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surface </w:t>
            </w:r>
            <w:r w:rsidR="00252FB5" w:rsidRPr="00252FB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water bodies</w:t>
            </w:r>
            <w:bookmarkEnd w:id="4"/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53447" w:rsidRPr="00DD1399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19" w:type="dxa"/>
            <w:shd w:val="clear" w:color="auto" w:fill="auto"/>
          </w:tcPr>
          <w:p w:rsidR="00353447" w:rsidRPr="00252FB5" w:rsidRDefault="00252FB5" w:rsidP="00703D6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State 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3D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19" w:type="dxa"/>
            <w:shd w:val="clear" w:color="auto" w:fill="auto"/>
          </w:tcPr>
          <w:p w:rsidR="00353447" w:rsidRPr="00D15160" w:rsidRDefault="006042D7" w:rsidP="00703D6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dministrative data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availability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 land distribution (</w:t>
            </w:r>
            <w:r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according 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departmental 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survey </w:t>
            </w:r>
            <w:r w:rsidRPr="00357246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22-</w:t>
            </w:r>
            <w:proofErr w:type="spellStart"/>
            <w:r w:rsidRPr="006042D7">
              <w:rPr>
                <w:rFonts w:ascii="Times New Roman" w:hAnsi="Times New Roman"/>
                <w:i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наличии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распределении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2072F4" w:rsidRPr="002072F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BB2F59" w:rsidRPr="00BB2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B2F59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BB2F59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Report on the availability and distribution of land</w:t>
            </w:r>
            <w:r w:rsidR="00BB2F59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3D6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19" w:type="dxa"/>
            <w:shd w:val="clear" w:color="auto" w:fill="auto"/>
          </w:tcPr>
          <w:p w:rsidR="00353447" w:rsidRPr="00601912" w:rsidRDefault="006042D7" w:rsidP="00ED0812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 area under swamps and </w:t>
            </w:r>
            <w:r w:rsidR="007132CF" w:rsidRPr="007132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surface 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water bodies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w:r w:rsidR="00ED0812" w:rsidRPr="00282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determined </w:t>
            </w:r>
            <w:r w:rsidR="00ED0812">
              <w:rPr>
                <w:rFonts w:ascii="Times New Roman" w:hAnsi="Times New Roman"/>
                <w:sz w:val="24"/>
                <w:szCs w:val="24"/>
                <w:lang w:val="en-US"/>
              </w:rPr>
              <w:t>as the</w:t>
            </w:r>
            <w:r w:rsidR="00ED0812" w:rsidRPr="0004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area under swamps and </w:t>
            </w:r>
            <w:r w:rsidR="007132CF" w:rsidRPr="007132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surface 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>water bodies</w:t>
            </w:r>
            <w:r w:rsidR="00ED0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Republic of Belarus.</w:t>
            </w:r>
          </w:p>
          <w:p w:rsidR="00353447" w:rsidRPr="00ED0812" w:rsidRDefault="006042D7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wamp lands </w:t>
            </w:r>
            <w:r w:rsidR="00122C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 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>excessively humid lands covered with a layer of peat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53447" w:rsidRPr="00601912" w:rsidRDefault="006042D7" w:rsidP="006042D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ands under </w:t>
            </w:r>
            <w:r w:rsidR="007132CF" w:rsidRPr="007132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surface 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water bodies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="00ED0812" w:rsidRPr="00ED08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lands occupied by the concentration of natural waters on the land surface (rivers, streams, springs, lakes, reservoirs, ponds, digging ponds, canals and other surface water bodies)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19" w:type="dxa"/>
            <w:shd w:val="clear" w:color="auto" w:fill="auto"/>
          </w:tcPr>
          <w:p w:rsidR="00252FB5" w:rsidRPr="00353447" w:rsidRDefault="006042D7" w:rsidP="00252FB5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252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housand</w:t>
            </w:r>
            <w:r w:rsidR="00252FB5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hectares;</w:t>
            </w:r>
          </w:p>
          <w:p w:rsidR="00353447" w:rsidRPr="00252FB5" w:rsidRDefault="006042D7" w:rsidP="00252FB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252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ercent</w:t>
            </w:r>
            <w:r w:rsidR="00252FB5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of total land area</w:t>
            </w:r>
          </w:p>
        </w:tc>
      </w:tr>
      <w:tr w:rsidR="00353447" w:rsidRPr="0027745F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19" w:type="dxa"/>
            <w:shd w:val="clear" w:color="auto" w:fill="auto"/>
          </w:tcPr>
          <w:p w:rsidR="00353447" w:rsidRPr="0027745F" w:rsidRDefault="006042D7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252FB5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52FB5">
              <w:rPr>
                <w:rFonts w:ascii="Times New Roman" w:hAnsi="Times New Roman"/>
                <w:sz w:val="24"/>
                <w:szCs w:val="24"/>
                <w:lang w:val="en-US"/>
              </w:rPr>
              <w:t>regions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Minsk</w:t>
            </w:r>
            <w:proofErr w:type="spellEnd"/>
            <w:r w:rsidR="00252FB5" w:rsidRPr="00252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  <w:r w:rsidR="00252FB5" w:rsidRPr="002774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19" w:type="dxa"/>
            <w:shd w:val="clear" w:color="auto" w:fill="auto"/>
          </w:tcPr>
          <w:p w:rsidR="006042D7" w:rsidRDefault="006042D7" w:rsidP="006042D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etailed information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availability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distribution</w:t>
            </w:r>
            <w:r w:rsidRPr="00B725A2">
              <w:rPr>
                <w:lang w:val="en-US"/>
              </w:rPr>
              <w:t xml:space="preserve"> 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their types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website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3D6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53447" w:rsidRPr="0040038A" w:rsidRDefault="00184D82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BC3132" w:rsidRPr="00BC313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http://www.gki.gov.by/ru/activity_branches-land-reestr/</w:t>
              </w:r>
            </w:hyperlink>
          </w:p>
        </w:tc>
      </w:tr>
    </w:tbl>
    <w:p w:rsidR="00482C3B" w:rsidRPr="00B725A2" w:rsidRDefault="00482C3B" w:rsidP="00044C50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B725A2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353447" w:rsidRPr="00252FB5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5" w:name="Площадь_прочих_земель_тыс_га"/>
        <w:tc>
          <w:tcPr>
            <w:tcW w:w="7619" w:type="dxa"/>
            <w:shd w:val="clear" w:color="auto" w:fill="auto"/>
          </w:tcPr>
          <w:p w:rsidR="00353447" w:rsidRPr="00252FB5" w:rsidRDefault="00353447" w:rsidP="00252FB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252F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HYPERLINK  \l "_top" </w:instrTex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2FB5" w:rsidRPr="00252FB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Area of other land</w:t>
            </w:r>
            <w:bookmarkEnd w:id="5"/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53447" w:rsidRPr="00DD1399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19" w:type="dxa"/>
            <w:shd w:val="clear" w:color="auto" w:fill="auto"/>
          </w:tcPr>
          <w:p w:rsidR="00353447" w:rsidRPr="00252FB5" w:rsidRDefault="00252FB5" w:rsidP="00703D6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State 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3D6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19" w:type="dxa"/>
            <w:shd w:val="clear" w:color="auto" w:fill="auto"/>
          </w:tcPr>
          <w:p w:rsidR="00353447" w:rsidRPr="00D15160" w:rsidRDefault="006042D7" w:rsidP="00703D6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dministrative data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availability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 land distribution (</w:t>
            </w:r>
            <w:r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according 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departmental 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survey </w:t>
            </w:r>
            <w:r w:rsidRPr="00357246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22-</w:t>
            </w:r>
            <w:proofErr w:type="spellStart"/>
            <w:r w:rsidRPr="006042D7">
              <w:rPr>
                <w:rFonts w:ascii="Times New Roman" w:hAnsi="Times New Roman"/>
                <w:i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2072F4" w:rsidRPr="00894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о</w:t>
            </w:r>
            <w:r w:rsidR="002072F4" w:rsidRPr="00894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наличии</w:t>
            </w:r>
            <w:r w:rsidR="002072F4" w:rsidRPr="00894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и</w:t>
            </w:r>
            <w:r w:rsidR="002072F4" w:rsidRPr="00894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распределении</w:t>
            </w:r>
            <w:r w:rsidR="002072F4" w:rsidRPr="00894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72F4" w:rsidRPr="0027745F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2072F4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BB2F59" w:rsidRPr="00BB2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B2F59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BB2F59" w:rsidRPr="00DD1399">
              <w:rPr>
                <w:rFonts w:ascii="Times New Roman" w:hAnsi="Times New Roman"/>
                <w:sz w:val="24"/>
                <w:szCs w:val="24"/>
                <w:lang w:val="en-US"/>
              </w:rPr>
              <w:t>Report on the availability and distribution of land</w:t>
            </w:r>
            <w:r w:rsidR="00BB2F59" w:rsidRPr="00894BC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6042D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3D6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</w:p>
        </w:tc>
      </w:tr>
      <w:tr w:rsidR="00353447" w:rsidRPr="00184D82" w:rsidTr="00A352A0">
        <w:trPr>
          <w:trHeight w:val="844"/>
        </w:trPr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19" w:type="dxa"/>
            <w:shd w:val="clear" w:color="auto" w:fill="auto"/>
          </w:tcPr>
          <w:p w:rsidR="00353447" w:rsidRPr="00044039" w:rsidRDefault="00122CD4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122CD4">
              <w:rPr>
                <w:rFonts w:ascii="Times New Roman" w:hAnsi="Times New Roman"/>
                <w:sz w:val="24"/>
                <w:szCs w:val="24"/>
                <w:lang w:val="en-US"/>
              </w:rPr>
              <w:t>Area of other land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w:r w:rsidR="00044039" w:rsidRPr="0004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determined as the total area of land </w:t>
            </w:r>
            <w:r w:rsidR="0004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minus the area of </w:t>
            </w:r>
            <w:r w:rsidR="00044039" w:rsidRPr="00044039">
              <w:rPr>
                <w:rFonts w:ascii="Times New Roman" w:hAnsi="Times New Roman"/>
                <w:sz w:val="24"/>
                <w:szCs w:val="24"/>
                <w:lang w:val="en-US"/>
              </w:rPr>
              <w:t>agricultural land, forest land, land under swamps and</w:t>
            </w:r>
            <w:r w:rsidR="007132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132CF" w:rsidRPr="007132CF">
              <w:rPr>
                <w:rFonts w:ascii="Times New Roman" w:hAnsi="Times New Roman"/>
                <w:sz w:val="24"/>
                <w:szCs w:val="24"/>
                <w:lang w:val="en-US"/>
              </w:rPr>
              <w:t>surface</w:t>
            </w:r>
            <w:r w:rsidR="00044039" w:rsidRPr="0004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water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bodies.</w:t>
            </w:r>
          </w:p>
          <w:p w:rsidR="008F5E5D" w:rsidRPr="008F5E5D" w:rsidRDefault="00122CD4" w:rsidP="008F5E5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2CD4">
              <w:rPr>
                <w:rFonts w:ascii="Times New Roman" w:hAnsi="Times New Roman"/>
                <w:sz w:val="24"/>
                <w:szCs w:val="24"/>
                <w:lang w:val="en-US"/>
              </w:rPr>
              <w:t>Area of other land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4039" w:rsidRPr="00044039">
              <w:rPr>
                <w:rFonts w:ascii="Times New Roman" w:hAnsi="Times New Roman"/>
                <w:sz w:val="24"/>
                <w:szCs w:val="24"/>
                <w:lang w:val="en-US"/>
              </w:rPr>
              <w:t>includes land under trees and shrubs (plantations);</w:t>
            </w:r>
            <w:r w:rsidR="0004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F5E5D" w:rsidRPr="008F5E5D">
              <w:rPr>
                <w:rFonts w:ascii="Times New Roman" w:hAnsi="Times New Roman"/>
                <w:sz w:val="24"/>
                <w:szCs w:val="24"/>
                <w:lang w:val="en-US"/>
              </w:rPr>
              <w:t>land under roads and other transport infrastructure</w:t>
            </w:r>
            <w:r w:rsidR="008F5E5D">
              <w:rPr>
                <w:rFonts w:ascii="Times New Roman" w:hAnsi="Times New Roman"/>
                <w:sz w:val="24"/>
                <w:szCs w:val="24"/>
                <w:lang w:val="en-US"/>
              </w:rPr>
              <w:t>; public use land; land under construction;</w:t>
            </w:r>
            <w:r w:rsidR="008F5E5D" w:rsidRPr="008F5E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damage</w:t>
            </w:r>
            <w:r w:rsidR="008F5E5D">
              <w:rPr>
                <w:rFonts w:ascii="Times New Roman" w:hAnsi="Times New Roman"/>
                <w:sz w:val="24"/>
                <w:szCs w:val="24"/>
                <w:lang w:val="en-US"/>
              </w:rPr>
              <w:t>d land;</w:t>
            </w:r>
            <w:r w:rsidR="008F5E5D" w:rsidRPr="008F5E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unused land </w:t>
            </w:r>
            <w:r w:rsidR="008F5E5D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8F5E5D" w:rsidRPr="008F5E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other land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252FB5" w:rsidRPr="00353447" w:rsidRDefault="00122CD4" w:rsidP="00252FB5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252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housand</w:t>
            </w:r>
            <w:r w:rsidR="00252FB5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hectares;</w:t>
            </w:r>
          </w:p>
          <w:p w:rsidR="00353447" w:rsidRPr="00252FB5" w:rsidRDefault="00122CD4" w:rsidP="00252FB5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252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ercent</w:t>
            </w:r>
            <w:r w:rsidR="00252FB5" w:rsidRPr="0035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of total land area</w:t>
            </w:r>
          </w:p>
        </w:tc>
      </w:tr>
      <w:tr w:rsidR="00353447" w:rsidRPr="0027745F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19" w:type="dxa"/>
            <w:shd w:val="clear" w:color="auto" w:fill="auto"/>
          </w:tcPr>
          <w:p w:rsidR="00353447" w:rsidRPr="0027745F" w:rsidRDefault="00122CD4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252FB5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52FB5">
              <w:rPr>
                <w:rFonts w:ascii="Times New Roman" w:hAnsi="Times New Roman"/>
                <w:sz w:val="24"/>
                <w:szCs w:val="24"/>
                <w:lang w:val="en-US"/>
              </w:rPr>
              <w:t>regions</w:t>
            </w:r>
            <w:r w:rsidR="00252FB5" w:rsidRPr="00277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447" w:rsidRPr="002774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Minsk</w:t>
            </w:r>
            <w:proofErr w:type="spellEnd"/>
            <w:r w:rsidR="00252FB5" w:rsidRPr="00252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FB5" w:rsidRPr="00252FB5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  <w:r w:rsidR="00353447" w:rsidRPr="002774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3447" w:rsidRPr="00184D82" w:rsidTr="00A352A0">
        <w:tc>
          <w:tcPr>
            <w:tcW w:w="1951" w:type="dxa"/>
            <w:shd w:val="clear" w:color="auto" w:fill="auto"/>
          </w:tcPr>
          <w:p w:rsidR="00353447" w:rsidRPr="00353447" w:rsidRDefault="00353447" w:rsidP="00353447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3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19" w:type="dxa"/>
            <w:shd w:val="clear" w:color="auto" w:fill="auto"/>
          </w:tcPr>
          <w:p w:rsidR="006042D7" w:rsidRDefault="006042D7" w:rsidP="006042D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etailed information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availability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1399">
              <w:rPr>
                <w:rFonts w:ascii="Times New Roman" w:hAnsi="Times New Roman"/>
                <w:sz w:val="24"/>
                <w:szCs w:val="24"/>
                <w:lang w:val="en-US"/>
              </w:rPr>
              <w:t>distribution</w:t>
            </w:r>
            <w:r w:rsidRPr="00B725A2">
              <w:rPr>
                <w:lang w:val="en-US"/>
              </w:rPr>
              <w:t xml:space="preserve"> 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their types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B7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website of the State 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3D6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52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Property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53447" w:rsidRPr="0040038A" w:rsidRDefault="00184D82" w:rsidP="00B725A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BC3132" w:rsidRPr="00BC313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http://www.gki.gov.by/ru/activity_branches-land-reestr/</w:t>
              </w:r>
            </w:hyperlink>
          </w:p>
        </w:tc>
      </w:tr>
    </w:tbl>
    <w:p w:rsidR="00887A9D" w:rsidRPr="00B725A2" w:rsidRDefault="00887A9D" w:rsidP="00044C50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sectPr w:rsidR="00887A9D" w:rsidRPr="00B725A2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A4D870EA"/>
    <w:lvl w:ilvl="0" w:tplc="4D1A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40DAB"/>
    <w:rsid w:val="00044039"/>
    <w:rsid w:val="00044C50"/>
    <w:rsid w:val="00056055"/>
    <w:rsid w:val="000E36A8"/>
    <w:rsid w:val="000F109C"/>
    <w:rsid w:val="000F1C57"/>
    <w:rsid w:val="00121F30"/>
    <w:rsid w:val="00122CD4"/>
    <w:rsid w:val="00132CF8"/>
    <w:rsid w:val="001428E3"/>
    <w:rsid w:val="001576B5"/>
    <w:rsid w:val="00163ADB"/>
    <w:rsid w:val="00184D82"/>
    <w:rsid w:val="00194399"/>
    <w:rsid w:val="001A6507"/>
    <w:rsid w:val="001A71EA"/>
    <w:rsid w:val="001C08A6"/>
    <w:rsid w:val="001E0546"/>
    <w:rsid w:val="001E0D73"/>
    <w:rsid w:val="001F5ACD"/>
    <w:rsid w:val="002072F4"/>
    <w:rsid w:val="00252FB5"/>
    <w:rsid w:val="0027745F"/>
    <w:rsid w:val="00282239"/>
    <w:rsid w:val="002940CC"/>
    <w:rsid w:val="002E044E"/>
    <w:rsid w:val="002E0C1D"/>
    <w:rsid w:val="00302A33"/>
    <w:rsid w:val="003030A3"/>
    <w:rsid w:val="00340757"/>
    <w:rsid w:val="00345A36"/>
    <w:rsid w:val="00353447"/>
    <w:rsid w:val="00372C33"/>
    <w:rsid w:val="003B2B18"/>
    <w:rsid w:val="003C3F8E"/>
    <w:rsid w:val="003C4F30"/>
    <w:rsid w:val="003D15DC"/>
    <w:rsid w:val="003D3082"/>
    <w:rsid w:val="0040038A"/>
    <w:rsid w:val="004052C7"/>
    <w:rsid w:val="004624C9"/>
    <w:rsid w:val="00465201"/>
    <w:rsid w:val="00476C83"/>
    <w:rsid w:val="00482C3B"/>
    <w:rsid w:val="004C78DD"/>
    <w:rsid w:val="004D218E"/>
    <w:rsid w:val="004F01D2"/>
    <w:rsid w:val="005267F1"/>
    <w:rsid w:val="00531BAC"/>
    <w:rsid w:val="00572908"/>
    <w:rsid w:val="0058646C"/>
    <w:rsid w:val="00593CAA"/>
    <w:rsid w:val="005B2366"/>
    <w:rsid w:val="005C4176"/>
    <w:rsid w:val="005D13CE"/>
    <w:rsid w:val="005E3CA7"/>
    <w:rsid w:val="00601912"/>
    <w:rsid w:val="006042D7"/>
    <w:rsid w:val="0062587A"/>
    <w:rsid w:val="006270B9"/>
    <w:rsid w:val="00630935"/>
    <w:rsid w:val="006419A5"/>
    <w:rsid w:val="00664A9C"/>
    <w:rsid w:val="0068066F"/>
    <w:rsid w:val="00695680"/>
    <w:rsid w:val="006976F7"/>
    <w:rsid w:val="006B0523"/>
    <w:rsid w:val="006E3DD4"/>
    <w:rsid w:val="00701821"/>
    <w:rsid w:val="00703D6F"/>
    <w:rsid w:val="00706D3B"/>
    <w:rsid w:val="007132CF"/>
    <w:rsid w:val="0072085C"/>
    <w:rsid w:val="00742DC3"/>
    <w:rsid w:val="00770D32"/>
    <w:rsid w:val="00783135"/>
    <w:rsid w:val="00796865"/>
    <w:rsid w:val="007C0551"/>
    <w:rsid w:val="007D58F0"/>
    <w:rsid w:val="00816CF0"/>
    <w:rsid w:val="00843DE7"/>
    <w:rsid w:val="0086226E"/>
    <w:rsid w:val="00865CD7"/>
    <w:rsid w:val="00873DEC"/>
    <w:rsid w:val="0088276F"/>
    <w:rsid w:val="00883510"/>
    <w:rsid w:val="00887A9D"/>
    <w:rsid w:val="00894BC7"/>
    <w:rsid w:val="00894F61"/>
    <w:rsid w:val="008966CB"/>
    <w:rsid w:val="008B054F"/>
    <w:rsid w:val="008F5E5D"/>
    <w:rsid w:val="00941D69"/>
    <w:rsid w:val="00945481"/>
    <w:rsid w:val="00961842"/>
    <w:rsid w:val="009B3789"/>
    <w:rsid w:val="009B6C23"/>
    <w:rsid w:val="009D05E5"/>
    <w:rsid w:val="009E1F14"/>
    <w:rsid w:val="00A04CF8"/>
    <w:rsid w:val="00A220A4"/>
    <w:rsid w:val="00A352A0"/>
    <w:rsid w:val="00A52D5B"/>
    <w:rsid w:val="00A77E80"/>
    <w:rsid w:val="00AE68FC"/>
    <w:rsid w:val="00B02B13"/>
    <w:rsid w:val="00B07E14"/>
    <w:rsid w:val="00B25C1E"/>
    <w:rsid w:val="00B53C5B"/>
    <w:rsid w:val="00B725A2"/>
    <w:rsid w:val="00B92BA5"/>
    <w:rsid w:val="00B9312E"/>
    <w:rsid w:val="00BA27F4"/>
    <w:rsid w:val="00BB2F59"/>
    <w:rsid w:val="00BC3132"/>
    <w:rsid w:val="00BC509E"/>
    <w:rsid w:val="00BD7C55"/>
    <w:rsid w:val="00BE1242"/>
    <w:rsid w:val="00BE4585"/>
    <w:rsid w:val="00BE5524"/>
    <w:rsid w:val="00C05DFE"/>
    <w:rsid w:val="00C1650F"/>
    <w:rsid w:val="00C41CEF"/>
    <w:rsid w:val="00C60190"/>
    <w:rsid w:val="00C761D9"/>
    <w:rsid w:val="00C806D4"/>
    <w:rsid w:val="00C9603D"/>
    <w:rsid w:val="00CC6DCA"/>
    <w:rsid w:val="00CD3815"/>
    <w:rsid w:val="00D15160"/>
    <w:rsid w:val="00D4496B"/>
    <w:rsid w:val="00D550C4"/>
    <w:rsid w:val="00D55E61"/>
    <w:rsid w:val="00DA00A3"/>
    <w:rsid w:val="00DA12E1"/>
    <w:rsid w:val="00DC686A"/>
    <w:rsid w:val="00DD0FEB"/>
    <w:rsid w:val="00DD1399"/>
    <w:rsid w:val="00E42F87"/>
    <w:rsid w:val="00E4667F"/>
    <w:rsid w:val="00E541D7"/>
    <w:rsid w:val="00E60919"/>
    <w:rsid w:val="00E65408"/>
    <w:rsid w:val="00E90498"/>
    <w:rsid w:val="00ED0812"/>
    <w:rsid w:val="00EE582D"/>
    <w:rsid w:val="00F062F7"/>
    <w:rsid w:val="00F31C7B"/>
    <w:rsid w:val="00F43346"/>
    <w:rsid w:val="00F50BE4"/>
    <w:rsid w:val="00F5786E"/>
    <w:rsid w:val="00F6164C"/>
    <w:rsid w:val="00F72E6F"/>
    <w:rsid w:val="00F96F4F"/>
    <w:rsid w:val="00FA4E09"/>
    <w:rsid w:val="00FB2DAC"/>
    <w:rsid w:val="00FC0DA8"/>
    <w:rsid w:val="00FC169B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F31C7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E0D7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D0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812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01912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912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gov.by/ru/activity_branches-land-reestr/" TargetMode="External"/><Relationship Id="rId13" Type="http://schemas.openxmlformats.org/officeDocument/2006/relationships/hyperlink" Target="http://www.gki.gov.by/ru/activity_branches-land-rees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ki.gov.by/en/activity_branches-land-en/" TargetMode="External"/><Relationship Id="rId12" Type="http://schemas.openxmlformats.org/officeDocument/2006/relationships/hyperlink" Target="http://www.gki.gov.by/ru/activity_branches-land-reest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stat.gov.by/en/ofitsialnaya-statistika/real-sector-of-the-economy/selskoe-hozyaistvo/agriculture/publicatio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ki.gov.by/ru/activity_branches-land-reest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en/ofitsialnaya-statistika/macroeconomy-and-environment/okruzhayuschaya-sreda/the-shared-environmental-information-system/f.-application-of-fertilizers/f2-application-of-fertilizers/" TargetMode="External"/><Relationship Id="rId14" Type="http://schemas.openxmlformats.org/officeDocument/2006/relationships/hyperlink" Target="http://www.gki.gov.by/ru/activity_branches-land-rees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22FDC-9B32-4698-B5A3-14A8CB7C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47</cp:revision>
  <cp:lastPrinted>2024-08-06T08:42:00Z</cp:lastPrinted>
  <dcterms:created xsi:type="dcterms:W3CDTF">2019-02-25T00:32:00Z</dcterms:created>
  <dcterms:modified xsi:type="dcterms:W3CDTF">2024-08-06T08:54:00Z</dcterms:modified>
</cp:coreProperties>
</file>