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C6189E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274E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762B" w:rsidRPr="00A1762B">
        <w:rPr>
          <w:rFonts w:ascii="Arial" w:hAnsi="Arial" w:cs="Arial"/>
          <w:b/>
          <w:sz w:val="28"/>
          <w:szCs w:val="28"/>
        </w:rPr>
        <w:t>Natural</w:t>
      </w:r>
      <w:proofErr w:type="spellEnd"/>
      <w:r w:rsidR="00A1762B" w:rsidRPr="00A176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762B" w:rsidRPr="00A1762B">
        <w:rPr>
          <w:rFonts w:ascii="Arial" w:hAnsi="Arial" w:cs="Arial"/>
          <w:b/>
          <w:sz w:val="28"/>
          <w:szCs w:val="28"/>
        </w:rPr>
        <w:t>assets</w:t>
      </w:r>
      <w:proofErr w:type="spellEnd"/>
    </w:p>
    <w:p w:rsidR="00A1762B" w:rsidRPr="0045751E" w:rsidRDefault="00A1762B" w:rsidP="00A1762B">
      <w:pPr>
        <w:rPr>
          <w:rFonts w:ascii="Arial" w:hAnsi="Arial" w:cs="Arial"/>
          <w:i/>
          <w:sz w:val="24"/>
          <w:szCs w:val="24"/>
          <w:lang w:val="en-US"/>
        </w:rPr>
      </w:pPr>
      <w:r w:rsidRPr="006C2651">
        <w:rPr>
          <w:rFonts w:ascii="Arial" w:eastAsia="Arial" w:hAnsi="Arial" w:cs="Arial"/>
          <w:sz w:val="28"/>
          <w:lang w:val="en-US"/>
        </w:rPr>
        <w:t>Metadata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274E76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3.1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AE68FC" w:rsidRPr="00AE68FC">
        <w:t xml:space="preserve"> </w:t>
      </w:r>
      <w:proofErr w:type="spellStart"/>
      <w:r w:rsidR="00A1762B" w:rsidRPr="00A1762B">
        <w:rPr>
          <w:rFonts w:ascii="Times New Roman" w:hAnsi="Times New Roman"/>
          <w:b/>
          <w:i/>
          <w:sz w:val="26"/>
          <w:szCs w:val="26"/>
        </w:rPr>
        <w:t>Freshwater</w:t>
      </w:r>
      <w:proofErr w:type="spellEnd"/>
      <w:r w:rsidR="00A1762B" w:rsidRPr="00A1762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1762B" w:rsidRPr="00A1762B">
        <w:rPr>
          <w:rFonts w:ascii="Times New Roman" w:hAnsi="Times New Roman"/>
          <w:b/>
          <w:i/>
          <w:sz w:val="26"/>
          <w:szCs w:val="26"/>
        </w:rPr>
        <w:t>resources</w:t>
      </w:r>
      <w:proofErr w:type="spellEnd"/>
      <w:r w:rsidR="00A1762B" w:rsidRPr="00A1762B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AE68FC" w:rsidRPr="00984D59" w:rsidRDefault="00984D59" w:rsidP="00984D5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r w:rsidRPr="00984D59">
        <w:rPr>
          <w:rStyle w:val="a5"/>
          <w:rFonts w:ascii="Times New Roman" w:hAnsi="Times New Roman"/>
          <w:i/>
          <w:color w:val="auto"/>
          <w:sz w:val="24"/>
          <w:szCs w:val="24"/>
        </w:rPr>
        <w:t>Renewable freshwater resources</w:t>
      </w:r>
      <w:r w:rsidR="005D7318" w:rsidRPr="00984D59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D66A71" w:rsidRPr="00984D59" w:rsidRDefault="00DE3AFB" w:rsidP="00984D5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  <w:lang w:val="en-US"/>
        </w:rPr>
      </w:pPr>
      <w:hyperlink w:anchor="Добыча_воды" w:history="1">
        <w:r w:rsidR="00984D59" w:rsidRPr="00984D59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Water abstraction from groundwater bodie</w:t>
        </w:r>
        <w:r w:rsidR="00984D59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</w:t>
        </w:r>
      </w:hyperlink>
    </w:p>
    <w:p w:rsidR="0034293B" w:rsidRPr="00984D59" w:rsidRDefault="00DE3AFB" w:rsidP="00984D5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  <w:lang w:val="en-US"/>
        </w:rPr>
      </w:pPr>
      <w:hyperlink w:anchor="Изъятие_воды" w:history="1">
        <w:r w:rsidR="00984D59" w:rsidRPr="00984D59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Water abstraction from surface water bodie</w:t>
        </w:r>
        <w:r w:rsidR="00984D59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s</w:t>
        </w:r>
      </w:hyperlink>
    </w:p>
    <w:p w:rsidR="006270B9" w:rsidRPr="009B43AD" w:rsidRDefault="00984D59" w:rsidP="00984D5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</w:pPr>
      <w:r w:rsidRPr="009B43AD">
        <w:rPr>
          <w:rStyle w:val="a5"/>
          <w:rFonts w:ascii="Times New Roman" w:hAnsi="Times New Roman"/>
          <w:i/>
          <w:color w:val="auto"/>
          <w:sz w:val="24"/>
          <w:szCs w:val="24"/>
          <w:lang w:val="en-US"/>
        </w:rPr>
        <w:t>Water resources exploitation index (by annual flow)</w:t>
      </w:r>
    </w:p>
    <w:p w:rsidR="000109D4" w:rsidRPr="00984D59" w:rsidRDefault="000109D4" w:rsidP="00DB61F3">
      <w:pPr>
        <w:spacing w:before="60" w:after="60"/>
        <w:jc w:val="left"/>
        <w:rPr>
          <w:rFonts w:ascii="Arial" w:hAnsi="Arial" w:cs="Arial"/>
          <w:b/>
          <w:sz w:val="28"/>
          <w:szCs w:val="28"/>
          <w:lang w:val="en-US"/>
        </w:rPr>
      </w:pPr>
      <w:r w:rsidRPr="00984D59">
        <w:rPr>
          <w:rFonts w:ascii="Arial" w:hAnsi="Arial" w:cs="Arial"/>
          <w:b/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1762B" w:rsidRPr="00984D59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tc>
          <w:tcPr>
            <w:tcW w:w="7620" w:type="dxa"/>
            <w:shd w:val="clear" w:color="auto" w:fill="auto"/>
          </w:tcPr>
          <w:p w:rsidR="00A1762B" w:rsidRPr="00984D59" w:rsidRDefault="00984D59" w:rsidP="00984D5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1" w:name="Возобновляемые_рес_пр_вод"/>
            <w:r w:rsidRPr="00984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Renewable freshwater resource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84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bookmarkEnd w:id="1"/>
          </w:p>
        </w:tc>
      </w:tr>
      <w:tr w:rsidR="00A1762B" w:rsidRPr="00263630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A1762B" w:rsidRPr="00A1762B" w:rsidRDefault="00A1762B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</w:p>
        </w:tc>
      </w:tr>
      <w:tr w:rsidR="00A1762B" w:rsidRPr="00263630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A1762B" w:rsidRPr="00A1762B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dministrative</w:t>
            </w:r>
            <w:r w:rsidR="00A1762B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A1762B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the volume of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>enewable freshwater resources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A1762B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A1762B" w:rsidRPr="0045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1762B" w:rsidRPr="00A1762B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average annual population (</w:t>
            </w:r>
            <w:proofErr w:type="spellStart"/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A1762B" w:rsidRPr="003B2D7D" w:rsidRDefault="00DE3AFB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232B00" w:rsidRPr="00232B0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  <w:tr w:rsidR="00A1762B" w:rsidRPr="00263630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A1762B" w:rsidRPr="00163CB6" w:rsidRDefault="009663A1" w:rsidP="009B43AD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9B43A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enewable freshwater resources include flows of water formed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both within </w:t>
            </w:r>
            <w:r w:rsidR="009B43A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>country and com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="009B43A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the territory of neighboring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countries</w:t>
            </w:r>
            <w:r w:rsidR="009B43A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163CB6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river flow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groundwater).</w:t>
            </w:r>
          </w:p>
          <w:p w:rsidR="00E97AED" w:rsidRPr="00E97AED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E97AE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gross river flow </w:t>
            </w:r>
            <w:r w:rsidR="00E97AED" w:rsidRP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determined based on the measurement of levels and flow rates in rivers; includes the local river flow formed </w:t>
            </w:r>
            <w:r w:rsid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territory of the </w:t>
            </w:r>
            <w:r w:rsidR="00E97AED" w:rsidRPr="00E97AED">
              <w:rPr>
                <w:rFonts w:ascii="Times New Roman" w:hAnsi="Times New Roman"/>
                <w:sz w:val="24"/>
                <w:szCs w:val="24"/>
                <w:lang w:val="en-US"/>
              </w:rPr>
              <w:t>country and the inflow of water from the territory of neighboring states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63CB6" w:rsidRPr="00163CB6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Renewable freshwater resources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a </w:t>
            </w:r>
            <w:r w:rsidR="00E97AED" w:rsidRPr="0033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</w:t>
            </w:r>
            <w:r w:rsidR="00E97AED" w:rsidRPr="0016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renewable freshwater resources </w:t>
            </w:r>
            <w:r w:rsidR="00E97AED" w:rsidRPr="0033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E97AED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the average annual population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1762B" w:rsidRPr="00984D59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A1762B" w:rsidRPr="00984D59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illion cubic</w:t>
            </w:r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year</w:t>
            </w:r>
            <w:r w:rsidR="00A1762B" w:rsidRPr="00984D5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1762B" w:rsidRPr="00984D59" w:rsidRDefault="009663A1" w:rsidP="00984D5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ubic</w:t>
            </w:r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capita</w:t>
            </w:r>
          </w:p>
        </w:tc>
      </w:tr>
      <w:tr w:rsidR="00A1762B" w:rsidRPr="00614C3A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A1762B" w:rsidRPr="00614C3A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1762B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A1762B" w:rsidRPr="00263630" w:rsidTr="00FA6633">
        <w:tc>
          <w:tcPr>
            <w:tcW w:w="1951" w:type="dxa"/>
            <w:shd w:val="clear" w:color="auto" w:fill="auto"/>
          </w:tcPr>
          <w:p w:rsidR="00A1762B" w:rsidRPr="00A1762B" w:rsidRDefault="00A1762B" w:rsidP="00A1762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76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9663A1" w:rsidRDefault="009663A1" w:rsidP="009663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enewable freshwater resources </w:t>
            </w:r>
            <w:r w:rsidR="00A1762B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A1762B"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on the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C1</w:t>
            </w:r>
            <w:r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indicator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1990):</w:t>
            </w:r>
          </w:p>
          <w:p w:rsidR="00B5312E" w:rsidRDefault="00DE3AFB" w:rsidP="009663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B5312E" w:rsidRPr="00DA61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https://www.belstat.gov.by/en/ofitsialnaya-statistika/macroeconomy-and-environment/okruzhayuschaya-sreda/the-shared-environmental-information-system/c-water-resources/s_renewable-freshwater-resources/</w:t>
              </w:r>
            </w:hyperlink>
          </w:p>
          <w:p w:rsidR="00A1762B" w:rsidRPr="001B3932" w:rsidRDefault="006D31C5" w:rsidP="00A1762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Cadastre</w:t>
            </w:r>
            <w:proofErr w:type="spellEnd"/>
            <w:r w:rsidR="00A1762B" w:rsidRPr="001B39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1762B" w:rsidRPr="00A1762B" w:rsidRDefault="00DE3AFB" w:rsidP="00DB61F3">
            <w:pPr>
              <w:spacing w:before="60" w:after="60"/>
              <w:rPr>
                <w:lang w:val="en-US"/>
              </w:rPr>
            </w:pPr>
            <w:hyperlink r:id="rId9" w:history="1">
              <w:r w:rsidR="00232B00" w:rsidRPr="00232B0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http://www.cricuwr.by/gvkinfo/</w:t>
              </w:r>
            </w:hyperlink>
          </w:p>
        </w:tc>
      </w:tr>
    </w:tbl>
    <w:p w:rsidR="000109D4" w:rsidRPr="00A1762B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A1762B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84D59" w:rsidRPr="00263630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2" w:name="Добыча_воды"/>
        <w:tc>
          <w:tcPr>
            <w:tcW w:w="7620" w:type="dxa"/>
            <w:shd w:val="clear" w:color="auto" w:fill="auto"/>
          </w:tcPr>
          <w:p w:rsidR="00984D59" w:rsidRPr="00984D59" w:rsidRDefault="00984D59" w:rsidP="00984D5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71">
              <w:rPr>
                <w:rStyle w:val="a5"/>
                <w:color w:val="auto"/>
                <w:u w:val="none"/>
              </w:rPr>
              <w:fldChar w:fldCharType="begin"/>
            </w:r>
            <w:r w:rsidRPr="00984D59">
              <w:rPr>
                <w:rStyle w:val="a5"/>
                <w:color w:val="auto"/>
                <w:u w:val="none"/>
                <w:lang w:val="en-US"/>
              </w:rPr>
              <w:instrText xml:space="preserve"> HYPERLINK  \l "_top" </w:instrText>
            </w:r>
            <w:r w:rsidRPr="00D66A71">
              <w:rPr>
                <w:rStyle w:val="a5"/>
                <w:color w:val="auto"/>
                <w:u w:val="none"/>
              </w:rPr>
              <w:fldChar w:fldCharType="separate"/>
            </w:r>
            <w:r w:rsidRPr="00984D5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Water abstraction from groundwater bodies</w:t>
            </w:r>
            <w:bookmarkEnd w:id="2"/>
            <w:r w:rsidRPr="00D66A71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984D59" w:rsidRPr="00263630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20" w:type="dxa"/>
            <w:shd w:val="clear" w:color="auto" w:fill="auto"/>
          </w:tcPr>
          <w:p w:rsidR="00984D59" w:rsidRPr="00984D59" w:rsidRDefault="00984D5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</w:p>
        </w:tc>
      </w:tr>
      <w:tr w:rsidR="00984D59" w:rsidRPr="00263630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20" w:type="dxa"/>
            <w:shd w:val="clear" w:color="auto" w:fill="auto"/>
          </w:tcPr>
          <w:p w:rsidR="00984D59" w:rsidRPr="007C6AC6" w:rsidRDefault="009663A1" w:rsidP="00DB61F3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D31C5"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</w:t>
            </w:r>
            <w:r w:rsidR="006D31C5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1C5" w:rsidRPr="001D3635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 w:rsidR="006D31C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6D31C5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1C5">
              <w:rPr>
                <w:rFonts w:ascii="Times New Roman" w:hAnsi="Times New Roman"/>
                <w:sz w:val="24"/>
                <w:szCs w:val="24"/>
                <w:lang w:val="en-US"/>
              </w:rPr>
              <w:t>survey</w:t>
            </w:r>
            <w:r w:rsidR="006D31C5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1C5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="006D31C5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1C5"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вода</w:t>
            </w:r>
            <w:r w:rsidR="006D31C5"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="00984D59"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об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вод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7C6AC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>Report on water use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84D59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84D59" w:rsidRPr="00A1762B" w:rsidRDefault="009663A1" w:rsidP="00984D5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average annual population (</w:t>
            </w:r>
            <w:proofErr w:type="spellStart"/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984D59" w:rsidRPr="003B2D7D" w:rsidRDefault="00DE3AFB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232B00" w:rsidRPr="00232B0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  <w:tr w:rsidR="00984D59" w:rsidRPr="00263630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20" w:type="dxa"/>
            <w:shd w:val="clear" w:color="auto" w:fill="auto"/>
          </w:tcPr>
          <w:p w:rsidR="00310FC9" w:rsidRPr="00310FC9" w:rsidRDefault="009663A1" w:rsidP="00310FC9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>Water abstraction from groundwater bodies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0FC9">
              <w:rPr>
                <w:rFonts w:ascii="Times New Roman" w:hAnsi="Times New Roman"/>
                <w:sz w:val="24"/>
                <w:szCs w:val="24"/>
                <w:lang w:val="en-US"/>
              </w:rPr>
              <w:t>consist of</w:t>
            </w:r>
            <w:r w:rsidR="00310FC9" w:rsidRPr="0031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volume of water abstraction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 the concentration of water volume</w:t>
            </w:r>
            <w:r w:rsidR="00310FC9" w:rsidRPr="0031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subsoil, which ha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10FC9" w:rsidRPr="0031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certain boundaries, the volume and signs of the groundwater regime and 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sisting of one or more aquifers.</w:t>
            </w:r>
          </w:p>
          <w:p w:rsidR="00E97AED" w:rsidRPr="00E97AED" w:rsidRDefault="009663A1" w:rsidP="00310FC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>Water abstraction from groundwater bodies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calculated is a </w:t>
            </w:r>
            <w:r w:rsidR="00E97AED" w:rsidRP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the volume of </w:t>
            </w:r>
            <w:hyperlink w:anchor="_top" w:history="1">
              <w:r w:rsidR="00E97AED">
                <w:rPr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="00E97AED" w:rsidRPr="00E97AED">
                <w:rPr>
                  <w:rFonts w:ascii="Times New Roman" w:hAnsi="Times New Roman"/>
                  <w:sz w:val="24"/>
                  <w:szCs w:val="24"/>
                  <w:lang w:val="en-US"/>
                </w:rPr>
                <w:t>ater abstraction from groundwater bodies</w:t>
              </w:r>
            </w:hyperlink>
            <w:r w:rsid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97AED" w:rsidRPr="00E97AED">
              <w:rPr>
                <w:rFonts w:ascii="Times New Roman" w:hAnsi="Times New Roman"/>
                <w:sz w:val="24"/>
                <w:szCs w:val="24"/>
                <w:lang w:val="en-US"/>
              </w:rPr>
              <w:t>to the average annual population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84D59" w:rsidRPr="009663A1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20" w:type="dxa"/>
            <w:shd w:val="clear" w:color="auto" w:fill="auto"/>
          </w:tcPr>
          <w:p w:rsidR="00984D59" w:rsidRPr="00984D59" w:rsidRDefault="009663A1" w:rsidP="00984D5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illion cubic</w:t>
            </w:r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year;</w:t>
            </w:r>
          </w:p>
          <w:p w:rsidR="00984D59" w:rsidRPr="009663A1" w:rsidRDefault="009663A1" w:rsidP="00984D5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ubic</w:t>
            </w:r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984D59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r w:rsidR="00984D59">
              <w:rPr>
                <w:rFonts w:ascii="Times New Roman" w:hAnsi="Times New Roman"/>
                <w:sz w:val="24"/>
                <w:szCs w:val="24"/>
                <w:lang w:val="en-US"/>
              </w:rPr>
              <w:t>capita</w:t>
            </w:r>
          </w:p>
        </w:tc>
      </w:tr>
      <w:tr w:rsidR="00984D59" w:rsidRPr="00614C3A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20" w:type="dxa"/>
            <w:shd w:val="clear" w:color="auto" w:fill="auto"/>
          </w:tcPr>
          <w:p w:rsidR="00984D59" w:rsidRPr="00614C3A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984D59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984D59" w:rsidRPr="00263630" w:rsidTr="00232B00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20" w:type="dxa"/>
            <w:shd w:val="clear" w:color="auto" w:fill="auto"/>
          </w:tcPr>
          <w:p w:rsidR="00624885" w:rsidRPr="00263630" w:rsidRDefault="00DE3AFB" w:rsidP="009663A1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hyperlink w:anchor="_top" w:history="1">
              <w:r w:rsidR="00624885" w:rsidRPr="0062488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Water abstraction from groundwater bodies</w:t>
              </w:r>
            </w:hyperlink>
            <w:r w:rsidR="00624885" w:rsidRPr="0026363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is </w:t>
            </w:r>
            <w:r w:rsidR="009663A1" w:rsidRPr="00263630">
              <w:rPr>
                <w:rStyle w:val="a5"/>
                <w:color w:val="auto"/>
                <w:u w:val="none"/>
              </w:rPr>
              <w:t>given</w:t>
            </w:r>
            <w:r w:rsidR="00624885" w:rsidRPr="00263630">
              <w:rPr>
                <w:rStyle w:val="a5"/>
                <w:color w:val="auto"/>
                <w:u w:val="none"/>
              </w:rPr>
              <w:t>:</w:t>
            </w:r>
          </w:p>
          <w:p w:rsidR="009663A1" w:rsidRDefault="009663A1" w:rsidP="00624885">
            <w:pPr>
              <w:numPr>
                <w:ilvl w:val="0"/>
                <w:numId w:val="5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Shared Environmental Information System (SEIS, C2 indicator, since 1990):</w:t>
            </w:r>
          </w:p>
          <w:p w:rsidR="00B5312E" w:rsidRDefault="00DE3AFB" w:rsidP="00B5312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B5312E" w:rsidRPr="00DA61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https://www.belstat.gov.by/en/ofitsialnaya-statistika/macroeconomy-and-environment/okruzhayuschaya-sreda/the-shared-environmental-information-system/c-water-resources/c2-water-abstraction/</w:t>
              </w:r>
            </w:hyperlink>
          </w:p>
          <w:p w:rsidR="007E47F6" w:rsidRPr="00466151" w:rsidRDefault="007E47F6" w:rsidP="007E47F6">
            <w:pPr>
              <w:numPr>
                <w:ilvl w:val="0"/>
                <w:numId w:val="5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263630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232B00" w:rsidRPr="00232B00" w:rsidRDefault="00DE3AFB" w:rsidP="00232B0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232B00" w:rsidRPr="00232B0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http://dataportal.belstat.gov.by/Indicators/Preview?key=216351</w:t>
              </w:r>
            </w:hyperlink>
          </w:p>
          <w:p w:rsidR="009663A1" w:rsidRPr="001B3932" w:rsidRDefault="009663A1" w:rsidP="009663A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Cadastre</w:t>
            </w:r>
            <w:proofErr w:type="spellEnd"/>
            <w:r w:rsidRPr="001B39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9663A1" w:rsidRPr="00984D59" w:rsidRDefault="00DE3AFB" w:rsidP="009663A1">
            <w:pPr>
              <w:spacing w:before="60" w:after="60"/>
              <w:rPr>
                <w:color w:val="0000FF"/>
                <w:u w:val="single"/>
                <w:lang w:val="en-US"/>
              </w:rPr>
            </w:pPr>
            <w:hyperlink r:id="rId13" w:history="1">
              <w:r w:rsidR="009663A1" w:rsidRPr="00A1762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http://www.cricuwr.by/gvkinfo/</w:t>
              </w:r>
            </w:hyperlink>
          </w:p>
        </w:tc>
      </w:tr>
    </w:tbl>
    <w:p w:rsidR="007940FF" w:rsidRPr="00984D59" w:rsidRDefault="007940FF" w:rsidP="00DB61F3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984D59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984D59" w:rsidRPr="00263630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3" w:name="Изъятие_воды"/>
        <w:tc>
          <w:tcPr>
            <w:tcW w:w="7619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984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HYPERLINK  \l "_top" </w:instrText>
            </w: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984D5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Water abstraction from surface water bodies</w:t>
            </w:r>
            <w:bookmarkEnd w:id="3"/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84D59" w:rsidRPr="00263630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19" w:type="dxa"/>
            <w:shd w:val="clear" w:color="auto" w:fill="auto"/>
          </w:tcPr>
          <w:p w:rsidR="00984D59" w:rsidRPr="00984D59" w:rsidRDefault="00984D5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</w:p>
        </w:tc>
      </w:tr>
      <w:tr w:rsidR="00984D59" w:rsidRPr="00263630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19" w:type="dxa"/>
            <w:shd w:val="clear" w:color="auto" w:fill="auto"/>
          </w:tcPr>
          <w:p w:rsidR="009663A1" w:rsidRPr="007C6AC6" w:rsidRDefault="009663A1" w:rsidP="009663A1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survey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вода</w:t>
            </w:r>
            <w:r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Pr="007C6A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об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вод</w:t>
            </w:r>
            <w:r w:rsidR="00581AA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7C6AC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>Report on water use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7C6AC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71406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average annual population (</w:t>
            </w:r>
            <w:proofErr w:type="spellStart"/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984D59" w:rsidRPr="00A1762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984D59" w:rsidRPr="003B2D7D" w:rsidRDefault="00DE3AFB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232B00" w:rsidRPr="00232B0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  <w:tr w:rsidR="00984D59" w:rsidRPr="00263630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19" w:type="dxa"/>
            <w:shd w:val="clear" w:color="auto" w:fill="auto"/>
          </w:tcPr>
          <w:p w:rsidR="00C242A9" w:rsidRPr="00C242A9" w:rsidRDefault="009663A1" w:rsidP="00C242A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>Water abstraction from surface water bodies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42A9" w:rsidRPr="00C242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consist of the volume of water withdrawal from artificial or natural reservoirs, watercourses, permanent or temporary concentration of water, which has certain boundaries and signs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 hydrological regime, per year.</w:t>
            </w:r>
          </w:p>
          <w:p w:rsidR="00E97AED" w:rsidRPr="00310FC9" w:rsidRDefault="009663A1" w:rsidP="00310FC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>Water abstraction from surface water bodies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calculated as a </w:t>
            </w:r>
            <w:r w:rsidR="00310FC9" w:rsidRPr="00E97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the volume of </w:t>
            </w:r>
            <w:hyperlink w:anchor="_top" w:history="1">
              <w:r w:rsidR="00310FC9">
                <w:rPr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="00310FC9" w:rsidRPr="00E97AE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ater abstraction from </w:t>
              </w:r>
              <w:r w:rsidR="00310FC9" w:rsidRPr="00310FC9">
                <w:rPr>
                  <w:rFonts w:ascii="Times New Roman" w:hAnsi="Times New Roman"/>
                  <w:sz w:val="24"/>
                  <w:szCs w:val="24"/>
                  <w:lang w:val="en-US"/>
                </w:rPr>
                <w:t>surface water</w:t>
              </w:r>
              <w:r w:rsidR="00310FC9" w:rsidRPr="00E97AE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bodies</w:t>
              </w:r>
            </w:hyperlink>
            <w:r w:rsidR="0031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0FC9" w:rsidRPr="00E97AED">
              <w:rPr>
                <w:rFonts w:ascii="Times New Roman" w:hAnsi="Times New Roman"/>
                <w:sz w:val="24"/>
                <w:szCs w:val="24"/>
                <w:lang w:val="en-US"/>
              </w:rPr>
              <w:t>to the average annual population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84D59" w:rsidRPr="00614C3A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19" w:type="dxa"/>
            <w:shd w:val="clear" w:color="auto" w:fill="auto"/>
          </w:tcPr>
          <w:p w:rsidR="00771406" w:rsidRPr="00984D59" w:rsidRDefault="009663A1" w:rsidP="0077140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771406">
              <w:rPr>
                <w:rFonts w:ascii="Times New Roman" w:hAnsi="Times New Roman"/>
                <w:sz w:val="24"/>
                <w:szCs w:val="24"/>
                <w:lang w:val="en-US"/>
              </w:rPr>
              <w:t>illion cubic</w:t>
            </w:r>
            <w:r w:rsidR="0077140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1406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77140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year;</w:t>
            </w:r>
            <w:bookmarkStart w:id="4" w:name="_GoBack"/>
            <w:bookmarkEnd w:id="4"/>
          </w:p>
          <w:p w:rsidR="00984D59" w:rsidRPr="00614C3A" w:rsidRDefault="009663A1" w:rsidP="0077140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71406">
              <w:rPr>
                <w:rFonts w:ascii="Times New Roman" w:hAnsi="Times New Roman"/>
                <w:sz w:val="24"/>
                <w:szCs w:val="24"/>
                <w:lang w:val="en-US"/>
              </w:rPr>
              <w:t>ubic</w:t>
            </w:r>
            <w:r w:rsidR="0077140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1406">
              <w:rPr>
                <w:rFonts w:ascii="Times New Roman" w:hAnsi="Times New Roman"/>
                <w:sz w:val="24"/>
                <w:szCs w:val="24"/>
                <w:lang w:val="en-US"/>
              </w:rPr>
              <w:t>metres</w:t>
            </w:r>
            <w:proofErr w:type="spellEnd"/>
            <w:r w:rsidR="0077140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r w:rsidR="00771406">
              <w:rPr>
                <w:rFonts w:ascii="Times New Roman" w:hAnsi="Times New Roman"/>
                <w:sz w:val="24"/>
                <w:szCs w:val="24"/>
                <w:lang w:val="en-US"/>
              </w:rPr>
              <w:t>capita</w:t>
            </w:r>
          </w:p>
        </w:tc>
      </w:tr>
      <w:tr w:rsidR="00984D59" w:rsidRPr="00614C3A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19" w:type="dxa"/>
            <w:shd w:val="clear" w:color="auto" w:fill="auto"/>
          </w:tcPr>
          <w:p w:rsidR="00984D59" w:rsidRPr="00614C3A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771406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984D59" w:rsidRPr="00263630" w:rsidTr="007D2449">
        <w:tc>
          <w:tcPr>
            <w:tcW w:w="1951" w:type="dxa"/>
            <w:shd w:val="clear" w:color="auto" w:fill="auto"/>
          </w:tcPr>
          <w:p w:rsidR="00984D59" w:rsidRPr="00984D59" w:rsidRDefault="00984D59" w:rsidP="00984D5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4D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19" w:type="dxa"/>
            <w:shd w:val="clear" w:color="auto" w:fill="auto"/>
          </w:tcPr>
          <w:p w:rsidR="00624885" w:rsidRPr="007C6AC6" w:rsidRDefault="009663A1" w:rsidP="009663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7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ater abstraction from surface water bodies </w:t>
            </w:r>
            <w:r w:rsidRPr="00026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1B3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624885" w:rsidRPr="0062488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24885" w:rsidRDefault="00624885" w:rsidP="00624885">
            <w:pPr>
              <w:numPr>
                <w:ilvl w:val="0"/>
                <w:numId w:val="5"/>
              </w:numPr>
              <w:spacing w:before="60" w:after="60"/>
              <w:ind w:firstLine="2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624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within the framework of the Shared Environmental Information System (SEIS, C2 indicator, since 1990):</w:t>
            </w:r>
          </w:p>
          <w:p w:rsidR="00B5312E" w:rsidRDefault="00DE3AFB" w:rsidP="00B5312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B5312E" w:rsidRPr="00DA61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https://www.belstat.gov.by/en/ofitsialnaya-statistika/macroeconomy-and-environment/okruzhayuschaya-sreda/the-shared-environmental-information-system/c-water-resources/c2-water-abstraction/</w:t>
              </w:r>
            </w:hyperlink>
          </w:p>
          <w:p w:rsidR="007E47F6" w:rsidRPr="00466151" w:rsidRDefault="007E47F6" w:rsidP="007E47F6">
            <w:pPr>
              <w:numPr>
                <w:ilvl w:val="0"/>
                <w:numId w:val="5"/>
              </w:numPr>
              <w:spacing w:before="60" w:after="60"/>
              <w:ind w:firstLine="3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263630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66151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5D6E4F" w:rsidRPr="007E47F6" w:rsidRDefault="00DE3AFB" w:rsidP="005D6E4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5D6E4F" w:rsidRPr="005D6E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http://dataportal.belstat.gov.by/Indicators/Preview?key=216351</w:t>
              </w:r>
            </w:hyperlink>
          </w:p>
          <w:p w:rsidR="00771406" w:rsidRPr="001B3932" w:rsidRDefault="006D31C5" w:rsidP="0077140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Cadastre</w:t>
            </w:r>
            <w:proofErr w:type="spellEnd"/>
            <w:r w:rsidR="009663A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984D59" w:rsidRPr="00771406" w:rsidRDefault="00DE3AFB" w:rsidP="00DB61F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984D59" w:rsidRPr="0077140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http://www.cricuwr.by/gvkinfo/</w:t>
              </w:r>
            </w:hyperlink>
          </w:p>
        </w:tc>
      </w:tr>
    </w:tbl>
    <w:p w:rsidR="000109D4" w:rsidRPr="00771406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  <w:lang w:val="en-US"/>
        </w:rPr>
      </w:pPr>
      <w:r w:rsidRPr="00771406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771406" w:rsidRPr="00263630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Name of indicator</w:t>
            </w:r>
          </w:p>
        </w:tc>
        <w:bookmarkStart w:id="5" w:name="Индекс_эксплуатации"/>
        <w:tc>
          <w:tcPr>
            <w:tcW w:w="7619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Pr="0077140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Pr="0077140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Water resources exploitation index (by annual flow)</w:t>
            </w:r>
            <w:bookmarkEnd w:id="5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Pr="007714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71406" w:rsidRPr="00263630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Producer</w:t>
            </w:r>
          </w:p>
        </w:tc>
        <w:tc>
          <w:tcPr>
            <w:tcW w:w="7619" w:type="dxa"/>
            <w:shd w:val="clear" w:color="auto" w:fill="auto"/>
          </w:tcPr>
          <w:p w:rsidR="00771406" w:rsidRPr="00771406" w:rsidRDefault="0077140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Ministry of Natural Resources and Environmental Protection</w:t>
            </w:r>
          </w:p>
        </w:tc>
      </w:tr>
      <w:tr w:rsidR="00771406" w:rsidRPr="00263630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Data sources</w:t>
            </w:r>
          </w:p>
        </w:tc>
        <w:tc>
          <w:tcPr>
            <w:tcW w:w="7619" w:type="dxa"/>
            <w:shd w:val="clear" w:color="auto" w:fill="auto"/>
          </w:tcPr>
          <w:p w:rsidR="009663A1" w:rsidRPr="00232B00" w:rsidRDefault="009663A1" w:rsidP="009663A1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tate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statistic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survey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B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1-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вода</w:t>
            </w:r>
            <w:r w:rsidRPr="00232B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9663A1">
              <w:rPr>
                <w:rFonts w:ascii="Times New Roman" w:hAnsi="Times New Roman"/>
                <w:i/>
                <w:sz w:val="24"/>
                <w:szCs w:val="24"/>
              </w:rPr>
              <w:t>Минприроды</w:t>
            </w:r>
            <w:r w:rsidRPr="00232B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об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81AA6" w:rsidRPr="00614C3A">
              <w:rPr>
                <w:rFonts w:ascii="Times New Roman" w:hAnsi="Times New Roman"/>
                <w:sz w:val="24"/>
                <w:szCs w:val="24"/>
              </w:rPr>
              <w:t>вод</w:t>
            </w:r>
            <w:r w:rsidR="00581AA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7C6AC6" w:rsidRPr="00232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C6AC6" w:rsidRPr="00984D59">
              <w:rPr>
                <w:rFonts w:ascii="Times New Roman" w:hAnsi="Times New Roman"/>
                <w:sz w:val="24"/>
                <w:szCs w:val="24"/>
                <w:lang w:val="en-US"/>
              </w:rPr>
              <w:t>Report on water use</w:t>
            </w:r>
            <w:r w:rsidR="007C6AC6" w:rsidRPr="007C6AC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32B0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71406" w:rsidRPr="009B43AD" w:rsidRDefault="009663A1" w:rsidP="009663A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71406" w:rsidRPr="0077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 w:rsidRPr="0089773E">
              <w:rPr>
                <w:rFonts w:ascii="Times New Roman" w:hAnsi="Times New Roman"/>
                <w:sz w:val="24"/>
                <w:szCs w:val="24"/>
                <w:lang w:val="en-US"/>
              </w:rPr>
              <w:t>on renewable</w:t>
            </w:r>
            <w:r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freshwater resources</w:t>
            </w:r>
            <w:r w:rsidRPr="0077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1406" w:rsidRPr="0077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Ministry of Natural Resources and Environmental Protection </w:t>
            </w:r>
          </w:p>
        </w:tc>
      </w:tr>
      <w:tr w:rsidR="00771406" w:rsidRPr="00263630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Definition/ calculation procedure</w:t>
            </w:r>
          </w:p>
        </w:tc>
        <w:tc>
          <w:tcPr>
            <w:tcW w:w="7619" w:type="dxa"/>
            <w:shd w:val="clear" w:color="auto" w:fill="auto"/>
          </w:tcPr>
          <w:p w:rsidR="00E97AED" w:rsidRPr="0089773E" w:rsidRDefault="009663A1" w:rsidP="0089773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3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Water resources exploitation index (by annual flow)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a </w:t>
            </w:r>
            <w:r w:rsidR="00E97AED" w:rsidRPr="0033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</w:t>
            </w:r>
            <w:r w:rsidR="0089773E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89773E" w:rsidRPr="00310FC9">
              <w:rPr>
                <w:rFonts w:ascii="Times New Roman" w:hAnsi="Times New Roman"/>
                <w:sz w:val="24"/>
                <w:szCs w:val="24"/>
                <w:lang w:val="en-US"/>
              </w:rPr>
              <w:t>ater a</w:t>
            </w:r>
            <w:r w:rsidR="0089773E">
              <w:rPr>
                <w:rFonts w:ascii="Times New Roman" w:hAnsi="Times New Roman"/>
                <w:sz w:val="24"/>
                <w:szCs w:val="24"/>
                <w:lang w:val="en-US"/>
              </w:rPr>
              <w:t>bstraction from natural sources</w:t>
            </w:r>
            <w:r w:rsidR="0089773E" w:rsidRPr="008977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97AED" w:rsidRPr="0033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89773E">
              <w:rPr>
                <w:rFonts w:ascii="Times New Roman" w:hAnsi="Times New Roman"/>
                <w:sz w:val="24"/>
                <w:szCs w:val="24"/>
                <w:lang w:val="en-US"/>
              </w:rPr>
              <w:t>renewable freshwater resources</w:t>
            </w:r>
          </w:p>
        </w:tc>
      </w:tr>
      <w:tr w:rsidR="00771406" w:rsidRPr="00614C3A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7619" w:type="dxa"/>
            <w:shd w:val="clear" w:color="auto" w:fill="auto"/>
          </w:tcPr>
          <w:p w:rsidR="00771406" w:rsidRPr="00614C3A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7714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771406" w:rsidRPr="00614C3A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Disaggregation</w:t>
            </w:r>
          </w:p>
        </w:tc>
        <w:tc>
          <w:tcPr>
            <w:tcW w:w="7619" w:type="dxa"/>
            <w:shd w:val="clear" w:color="auto" w:fill="auto"/>
          </w:tcPr>
          <w:p w:rsidR="00771406" w:rsidRPr="00614C3A" w:rsidRDefault="009663A1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771406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771406" w:rsidRPr="00263630" w:rsidTr="007D2449">
        <w:tc>
          <w:tcPr>
            <w:tcW w:w="1951" w:type="dxa"/>
            <w:shd w:val="clear" w:color="auto" w:fill="auto"/>
          </w:tcPr>
          <w:p w:rsidR="00771406" w:rsidRPr="00771406" w:rsidRDefault="00771406" w:rsidP="0077140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14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Supplementary information</w:t>
            </w:r>
          </w:p>
        </w:tc>
        <w:tc>
          <w:tcPr>
            <w:tcW w:w="7619" w:type="dxa"/>
            <w:shd w:val="clear" w:color="auto" w:fill="auto"/>
          </w:tcPr>
          <w:p w:rsidR="009663A1" w:rsidRDefault="00207337" w:rsidP="009663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 i</w:t>
            </w:r>
            <w:r w:rsidR="009663A1" w:rsidRPr="00C24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ntensity of fresh water use </w:t>
            </w:r>
            <w:r w:rsidR="009663A1" w:rsidRPr="00026D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="009663A1" w:rsidRPr="001B3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663A1"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9663A1" w:rsidRPr="00A17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6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on the </w:t>
            </w:r>
            <w:proofErr w:type="spellStart"/>
            <w:r w:rsidR="00966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Belstat</w:t>
            </w:r>
            <w:proofErr w:type="spellEnd"/>
            <w:r w:rsidR="00966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website within the framework of the </w:t>
            </w:r>
            <w:r w:rsidR="009663A1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Shared Environmental Information System (SEIS</w:t>
            </w:r>
            <w:r w:rsidR="00966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C2</w:t>
            </w:r>
            <w:r w:rsidR="009663A1" w:rsidRPr="00FA7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indicator</w:t>
            </w:r>
            <w:r w:rsidR="00966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since 1990):</w:t>
            </w:r>
          </w:p>
          <w:p w:rsidR="00B5312E" w:rsidRDefault="00DE3AFB" w:rsidP="009663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B5312E" w:rsidRPr="00DA617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https://www.belstat.gov.by/en/ofitsialnaya-statistika/macroeconomy-and-environment/okruzhayuschaya-sreda/the-shared-environmental-information-system/c-water-resources/c2-water-abstraction/</w:t>
              </w:r>
            </w:hyperlink>
          </w:p>
          <w:p w:rsidR="00771406" w:rsidRPr="001B3932" w:rsidRDefault="006D31C5" w:rsidP="0077140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Cadastre</w:t>
            </w:r>
            <w:proofErr w:type="spellEnd"/>
            <w:r w:rsidR="00771406" w:rsidRPr="001B39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771406" w:rsidRPr="00771406" w:rsidRDefault="00DE3AFB" w:rsidP="00DB61F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771406" w:rsidRPr="0077140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http://www.cricuwr.by/gvkinfo/</w:t>
              </w:r>
            </w:hyperlink>
          </w:p>
        </w:tc>
      </w:tr>
    </w:tbl>
    <w:p w:rsidR="006270B9" w:rsidRPr="00771406" w:rsidRDefault="006270B9" w:rsidP="00DB61F3">
      <w:pPr>
        <w:spacing w:before="60" w:after="60"/>
        <w:rPr>
          <w:rFonts w:ascii="Times New Roman" w:hAnsi="Times New Roman"/>
          <w:sz w:val="24"/>
          <w:szCs w:val="24"/>
          <w:lang w:val="en-US"/>
        </w:rPr>
      </w:pPr>
    </w:p>
    <w:sectPr w:rsidR="006270B9" w:rsidRPr="00771406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34B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109D4"/>
    <w:rsid w:val="000275C1"/>
    <w:rsid w:val="00040A09"/>
    <w:rsid w:val="00040DAB"/>
    <w:rsid w:val="00044ECD"/>
    <w:rsid w:val="00056055"/>
    <w:rsid w:val="00090E6C"/>
    <w:rsid w:val="00095E97"/>
    <w:rsid w:val="000D0511"/>
    <w:rsid w:val="000E3209"/>
    <w:rsid w:val="00105213"/>
    <w:rsid w:val="00121F30"/>
    <w:rsid w:val="00127147"/>
    <w:rsid w:val="00133E81"/>
    <w:rsid w:val="00163CB6"/>
    <w:rsid w:val="001A22B8"/>
    <w:rsid w:val="001A4606"/>
    <w:rsid w:val="001F5ACD"/>
    <w:rsid w:val="00205D02"/>
    <w:rsid w:val="00207337"/>
    <w:rsid w:val="002268A4"/>
    <w:rsid w:val="00230603"/>
    <w:rsid w:val="00232B00"/>
    <w:rsid w:val="00263630"/>
    <w:rsid w:val="00274E76"/>
    <w:rsid w:val="002E0C1D"/>
    <w:rsid w:val="002E7F10"/>
    <w:rsid w:val="002F58D8"/>
    <w:rsid w:val="003063DD"/>
    <w:rsid w:val="00310FC9"/>
    <w:rsid w:val="0031585A"/>
    <w:rsid w:val="00315BAB"/>
    <w:rsid w:val="0034293B"/>
    <w:rsid w:val="00346C78"/>
    <w:rsid w:val="003507AA"/>
    <w:rsid w:val="00352DAE"/>
    <w:rsid w:val="003763C2"/>
    <w:rsid w:val="003860E8"/>
    <w:rsid w:val="003B2D7D"/>
    <w:rsid w:val="003D3D75"/>
    <w:rsid w:val="003F1166"/>
    <w:rsid w:val="003F627A"/>
    <w:rsid w:val="00405FBA"/>
    <w:rsid w:val="004512A5"/>
    <w:rsid w:val="004832D2"/>
    <w:rsid w:val="00486255"/>
    <w:rsid w:val="00490B0D"/>
    <w:rsid w:val="004A3795"/>
    <w:rsid w:val="004E2734"/>
    <w:rsid w:val="004E2B25"/>
    <w:rsid w:val="004F71B3"/>
    <w:rsid w:val="005445CF"/>
    <w:rsid w:val="00562C55"/>
    <w:rsid w:val="00574778"/>
    <w:rsid w:val="00581AA6"/>
    <w:rsid w:val="005833CC"/>
    <w:rsid w:val="005B011B"/>
    <w:rsid w:val="005D6E4F"/>
    <w:rsid w:val="005D7318"/>
    <w:rsid w:val="00614C3A"/>
    <w:rsid w:val="0062430F"/>
    <w:rsid w:val="00624885"/>
    <w:rsid w:val="006270B9"/>
    <w:rsid w:val="006529D2"/>
    <w:rsid w:val="0065335D"/>
    <w:rsid w:val="00665BCF"/>
    <w:rsid w:val="00674455"/>
    <w:rsid w:val="00674C26"/>
    <w:rsid w:val="00695680"/>
    <w:rsid w:val="006C6FA6"/>
    <w:rsid w:val="006D31C5"/>
    <w:rsid w:val="006E79E5"/>
    <w:rsid w:val="00733BE3"/>
    <w:rsid w:val="007429AA"/>
    <w:rsid w:val="00766502"/>
    <w:rsid w:val="00771406"/>
    <w:rsid w:val="007830C8"/>
    <w:rsid w:val="007940FF"/>
    <w:rsid w:val="00796F7F"/>
    <w:rsid w:val="007A7B42"/>
    <w:rsid w:val="007C6AC6"/>
    <w:rsid w:val="007C6C9B"/>
    <w:rsid w:val="007D2449"/>
    <w:rsid w:val="007D54AC"/>
    <w:rsid w:val="007E47F6"/>
    <w:rsid w:val="007F448C"/>
    <w:rsid w:val="008041D7"/>
    <w:rsid w:val="00816CF0"/>
    <w:rsid w:val="0082015F"/>
    <w:rsid w:val="00847F85"/>
    <w:rsid w:val="00873DEC"/>
    <w:rsid w:val="008902A7"/>
    <w:rsid w:val="0089773E"/>
    <w:rsid w:val="008F76FF"/>
    <w:rsid w:val="00904304"/>
    <w:rsid w:val="00945481"/>
    <w:rsid w:val="009663A1"/>
    <w:rsid w:val="00984D59"/>
    <w:rsid w:val="009B2218"/>
    <w:rsid w:val="009B43AD"/>
    <w:rsid w:val="009D4F34"/>
    <w:rsid w:val="009D5229"/>
    <w:rsid w:val="009F009F"/>
    <w:rsid w:val="00A142F6"/>
    <w:rsid w:val="00A1762B"/>
    <w:rsid w:val="00A22FE0"/>
    <w:rsid w:val="00A2487B"/>
    <w:rsid w:val="00A422C5"/>
    <w:rsid w:val="00A442E2"/>
    <w:rsid w:val="00A55758"/>
    <w:rsid w:val="00A669B9"/>
    <w:rsid w:val="00A77E80"/>
    <w:rsid w:val="00AA22A5"/>
    <w:rsid w:val="00AB7364"/>
    <w:rsid w:val="00AC3C67"/>
    <w:rsid w:val="00AD7434"/>
    <w:rsid w:val="00AE68FC"/>
    <w:rsid w:val="00B1260F"/>
    <w:rsid w:val="00B27D09"/>
    <w:rsid w:val="00B5312E"/>
    <w:rsid w:val="00B71C47"/>
    <w:rsid w:val="00BC6E40"/>
    <w:rsid w:val="00BC7D5F"/>
    <w:rsid w:val="00BE4585"/>
    <w:rsid w:val="00C10042"/>
    <w:rsid w:val="00C242A9"/>
    <w:rsid w:val="00C26302"/>
    <w:rsid w:val="00C331C0"/>
    <w:rsid w:val="00C6189E"/>
    <w:rsid w:val="00C732F3"/>
    <w:rsid w:val="00C761D9"/>
    <w:rsid w:val="00CC693C"/>
    <w:rsid w:val="00CC6DCA"/>
    <w:rsid w:val="00CE222F"/>
    <w:rsid w:val="00CE51BE"/>
    <w:rsid w:val="00D148F4"/>
    <w:rsid w:val="00D64831"/>
    <w:rsid w:val="00D66A71"/>
    <w:rsid w:val="00DB4B51"/>
    <w:rsid w:val="00DB61F3"/>
    <w:rsid w:val="00DC5623"/>
    <w:rsid w:val="00DE3AFB"/>
    <w:rsid w:val="00E2483F"/>
    <w:rsid w:val="00E44AF3"/>
    <w:rsid w:val="00E541D7"/>
    <w:rsid w:val="00E57B3E"/>
    <w:rsid w:val="00E81C9C"/>
    <w:rsid w:val="00E91238"/>
    <w:rsid w:val="00E936E4"/>
    <w:rsid w:val="00E97AED"/>
    <w:rsid w:val="00EF446A"/>
    <w:rsid w:val="00F062F7"/>
    <w:rsid w:val="00F10172"/>
    <w:rsid w:val="00F41119"/>
    <w:rsid w:val="00F6164C"/>
    <w:rsid w:val="00F65149"/>
    <w:rsid w:val="00F91C1B"/>
    <w:rsid w:val="00FA6633"/>
    <w:rsid w:val="00FC169B"/>
    <w:rsid w:val="00FD38D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97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AED"/>
    <w:rPr>
      <w:rFonts w:ascii="Courier New" w:eastAsia="Times New Roman" w:hAnsi="Courier New" w:cs="Courier New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142F6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2F6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en/ofitsialnaya-statistika/macroeconomy-and-environment/okruzhayuschaya-sreda/the-shared-environmental-information-system/c-water-resources/s_renewable-freshwater-resources/" TargetMode="External"/><Relationship Id="rId13" Type="http://schemas.openxmlformats.org/officeDocument/2006/relationships/hyperlink" Target="http://www.cricuwr.by/gvkinfo/" TargetMode="External"/><Relationship Id="rId18" Type="http://schemas.openxmlformats.org/officeDocument/2006/relationships/hyperlink" Target="https://www.belstat.gov.by/en/ofitsialnaya-statistika/macroeconomy-and-environment/okruzhayuschaya-sreda/the-shared-environmental-information-system/c-water-resources/c2-water-abstractio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hyperlink" Target="http://dataportal.belstat.gov.by/Indicators/Preview?key=216351" TargetMode="External"/><Relationship Id="rId17" Type="http://schemas.openxmlformats.org/officeDocument/2006/relationships/hyperlink" Target="http://www.cricuwr.by/gvk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portal.belstat.gov.by/Indicators/Preview?key=2163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en/ofitsialnaya-statistika/macroeconomy-and-environment/okruzhayuschaya-sreda/the-shared-environmental-information-system/c-water-resources/c2-water-abstrac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en/ofitsialnaya-statistika/macroeconomy-and-environment/okruzhayuschaya-sreda/the-shared-environmental-information-system/c-water-resources/c2-water-abstraction/" TargetMode="External"/><Relationship Id="rId10" Type="http://schemas.openxmlformats.org/officeDocument/2006/relationships/hyperlink" Target="http://dataportal.belstat.gov.by/Indicators/Preview?key=128626" TargetMode="External"/><Relationship Id="rId19" Type="http://schemas.openxmlformats.org/officeDocument/2006/relationships/hyperlink" Target="http://www.cricuwr.by/gvk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icuwr.by/gvkinfo/" TargetMode="External"/><Relationship Id="rId14" Type="http://schemas.openxmlformats.org/officeDocument/2006/relationships/hyperlink" Target="http://dataportal.belstat.gov.by/Indicators/Preview?key=128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AF6F-1F8A-44F2-9D45-27D03AF0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52</cp:revision>
  <cp:lastPrinted>2024-08-06T08:09:00Z</cp:lastPrinted>
  <dcterms:created xsi:type="dcterms:W3CDTF">2019-02-25T00:24:00Z</dcterms:created>
  <dcterms:modified xsi:type="dcterms:W3CDTF">2024-08-06T08:12:00Z</dcterms:modified>
</cp:coreProperties>
</file>