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8D" w:rsidRDefault="00EC0F8D" w:rsidP="00EC0F8D">
      <w:pPr>
        <w:spacing w:line="160" w:lineRule="exact"/>
        <w:rPr>
          <w:sz w:val="22"/>
        </w:rPr>
      </w:pPr>
      <w:bookmarkStart w:id="0" w:name="_GoBack"/>
      <w:bookmarkEnd w:id="0"/>
    </w:p>
    <w:p w:rsidR="00EC0F8D" w:rsidRDefault="00EC0F8D" w:rsidP="00EC0F8D">
      <w:pPr>
        <w:pStyle w:val="a7"/>
        <w:tabs>
          <w:tab w:val="left" w:pos="5103"/>
        </w:tabs>
        <w:spacing w:after="0" w:line="280" w:lineRule="exact"/>
        <w:ind w:left="5840"/>
        <w:rPr>
          <w:caps/>
          <w:sz w:val="30"/>
        </w:rPr>
      </w:pPr>
      <w:r>
        <w:rPr>
          <w:caps/>
          <w:sz w:val="30"/>
        </w:rPr>
        <w:t>Утверждено</w:t>
      </w:r>
    </w:p>
    <w:p w:rsidR="00EC0F8D" w:rsidRDefault="00EC0F8D" w:rsidP="00EC0F8D">
      <w:pPr>
        <w:pStyle w:val="a7"/>
        <w:tabs>
          <w:tab w:val="left" w:pos="5103"/>
        </w:tabs>
        <w:spacing w:after="0" w:line="280" w:lineRule="exact"/>
        <w:ind w:left="5840"/>
        <w:rPr>
          <w:sz w:val="30"/>
        </w:rPr>
      </w:pPr>
      <w:r>
        <w:rPr>
          <w:sz w:val="30"/>
        </w:rPr>
        <w:t xml:space="preserve">Постановление </w:t>
      </w:r>
      <w:r>
        <w:rPr>
          <w:sz w:val="30"/>
        </w:rPr>
        <w:br/>
        <w:t xml:space="preserve">Национального </w:t>
      </w:r>
      <w:r>
        <w:rPr>
          <w:sz w:val="30"/>
        </w:rPr>
        <w:br/>
        <w:t xml:space="preserve">статистического комитета Республики Беларусь </w:t>
      </w:r>
    </w:p>
    <w:p w:rsidR="00EC0F8D" w:rsidRDefault="00EC0F8D" w:rsidP="00EC0F8D">
      <w:pPr>
        <w:pStyle w:val="a7"/>
        <w:tabs>
          <w:tab w:val="left" w:pos="5103"/>
        </w:tabs>
        <w:spacing w:after="0" w:line="280" w:lineRule="exact"/>
        <w:ind w:left="5840"/>
        <w:rPr>
          <w:sz w:val="30"/>
        </w:rPr>
      </w:pPr>
      <w:r>
        <w:rPr>
          <w:sz w:val="30"/>
        </w:rPr>
        <w:t xml:space="preserve">30.06.2023 </w:t>
      </w:r>
      <w:r w:rsidRPr="00902408">
        <w:rPr>
          <w:sz w:val="30"/>
        </w:rPr>
        <w:t xml:space="preserve">№ </w:t>
      </w:r>
      <w:r>
        <w:rPr>
          <w:sz w:val="30"/>
        </w:rPr>
        <w:t>59</w:t>
      </w:r>
      <w:r>
        <w:rPr>
          <w:sz w:val="30"/>
        </w:rPr>
        <w:br/>
      </w:r>
    </w:p>
    <w:p w:rsidR="00EC0F8D" w:rsidRDefault="00EC0F8D" w:rsidP="00EC0F8D">
      <w:pPr>
        <w:pStyle w:val="a7"/>
        <w:spacing w:after="0" w:line="280" w:lineRule="exact"/>
        <w:ind w:left="284" w:right="-74" w:firstLine="425"/>
        <w:jc w:val="center"/>
        <w:rPr>
          <w:b/>
          <w:sz w:val="30"/>
        </w:rPr>
      </w:pPr>
    </w:p>
    <w:tbl>
      <w:tblPr>
        <w:tblW w:w="12049" w:type="dxa"/>
        <w:tblInd w:w="108" w:type="dxa"/>
        <w:tblBorders>
          <w:insideH w:val="single" w:sz="4" w:space="0" w:color="auto"/>
          <w:insideV w:val="single" w:sz="4" w:space="0" w:color="auto"/>
        </w:tblBorders>
        <w:tblLook w:val="0000" w:firstRow="0" w:lastRow="0" w:firstColumn="0" w:lastColumn="0" w:noHBand="0" w:noVBand="0"/>
      </w:tblPr>
      <w:tblGrid>
        <w:gridCol w:w="6946"/>
        <w:gridCol w:w="5103"/>
      </w:tblGrid>
      <w:tr w:rsidR="00EC0F8D" w:rsidRPr="00A50B31" w:rsidTr="00B614FF">
        <w:tc>
          <w:tcPr>
            <w:tcW w:w="6946" w:type="dxa"/>
            <w:tcBorders>
              <w:top w:val="nil"/>
              <w:bottom w:val="nil"/>
              <w:right w:val="nil"/>
            </w:tcBorders>
          </w:tcPr>
          <w:p w:rsidR="00EC0F8D" w:rsidRPr="00A50B31" w:rsidRDefault="00EC0F8D" w:rsidP="00B614FF">
            <w:pPr>
              <w:pStyle w:val="a7"/>
              <w:spacing w:after="0" w:line="280" w:lineRule="exact"/>
              <w:ind w:left="0"/>
              <w:jc w:val="both"/>
              <w:rPr>
                <w:sz w:val="30"/>
              </w:rPr>
            </w:pPr>
            <w:r w:rsidRPr="00A50B31">
              <w:rPr>
                <w:sz w:val="30"/>
              </w:rPr>
              <w:t>УКАЗАНИЯ</w:t>
            </w:r>
          </w:p>
          <w:p w:rsidR="00EC0F8D" w:rsidRPr="00A50B31" w:rsidRDefault="00EC0F8D" w:rsidP="00B614FF">
            <w:pPr>
              <w:pStyle w:val="a7"/>
              <w:spacing w:after="0" w:line="280" w:lineRule="exact"/>
              <w:ind w:left="0" w:right="-74"/>
              <w:jc w:val="both"/>
              <w:rPr>
                <w:sz w:val="30"/>
              </w:rPr>
            </w:pPr>
            <w:r w:rsidRPr="00A50B31">
              <w:rPr>
                <w:sz w:val="30"/>
              </w:rPr>
              <w:t xml:space="preserve">по заполнению формы государственной статистической отчетности 6-т (гс) «Отчет </w:t>
            </w:r>
            <w:r>
              <w:rPr>
                <w:sz w:val="30"/>
              </w:rPr>
              <w:br/>
            </w:r>
            <w:r w:rsidRPr="00A50B31">
              <w:rPr>
                <w:sz w:val="30"/>
              </w:rPr>
              <w:t xml:space="preserve">о численности и распределении государственных гражданских </w:t>
            </w:r>
            <w:r w:rsidRPr="00A50B31">
              <w:rPr>
                <w:spacing w:val="-4"/>
                <w:sz w:val="30"/>
              </w:rPr>
              <w:t>служащих по полу, возрасту, образованию и стажу государственной гражданской службы»</w:t>
            </w:r>
          </w:p>
        </w:tc>
        <w:tc>
          <w:tcPr>
            <w:tcW w:w="5103" w:type="dxa"/>
            <w:tcBorders>
              <w:left w:val="nil"/>
            </w:tcBorders>
          </w:tcPr>
          <w:p w:rsidR="00EC0F8D" w:rsidRPr="00A50B31" w:rsidRDefault="00EC0F8D" w:rsidP="00B614FF">
            <w:pPr>
              <w:pStyle w:val="a7"/>
              <w:spacing w:after="0" w:line="280" w:lineRule="exact"/>
              <w:ind w:left="0" w:right="-74"/>
              <w:jc w:val="center"/>
              <w:rPr>
                <w:b/>
                <w:sz w:val="30"/>
              </w:rPr>
            </w:pPr>
          </w:p>
        </w:tc>
      </w:tr>
    </w:tbl>
    <w:p w:rsidR="00EC0F8D" w:rsidRPr="00A50B31" w:rsidRDefault="00EC0F8D" w:rsidP="00EC0F8D">
      <w:pPr>
        <w:pStyle w:val="a7"/>
        <w:spacing w:after="0"/>
        <w:ind w:left="284" w:right="-74"/>
        <w:rPr>
          <w:b/>
          <w:sz w:val="28"/>
          <w:szCs w:val="28"/>
        </w:rPr>
      </w:pPr>
    </w:p>
    <w:p w:rsidR="00EC0F8D" w:rsidRPr="00A50B31" w:rsidRDefault="00EC0F8D" w:rsidP="00EC0F8D">
      <w:pPr>
        <w:pStyle w:val="a7"/>
        <w:spacing w:after="0"/>
        <w:ind w:left="284" w:right="-74"/>
        <w:rPr>
          <w:b/>
          <w:sz w:val="28"/>
          <w:szCs w:val="28"/>
        </w:rPr>
      </w:pPr>
    </w:p>
    <w:p w:rsidR="00EC0F8D" w:rsidRPr="00A50B31" w:rsidRDefault="00EC0F8D" w:rsidP="00EC0F8D">
      <w:pPr>
        <w:pStyle w:val="a7"/>
        <w:spacing w:before="120" w:after="0" w:line="350" w:lineRule="exact"/>
        <w:ind w:left="0" w:firstLine="720"/>
        <w:jc w:val="both"/>
        <w:rPr>
          <w:sz w:val="30"/>
        </w:rPr>
      </w:pPr>
      <w:r w:rsidRPr="00A50B31">
        <w:rPr>
          <w:sz w:val="30"/>
        </w:rPr>
        <w:t xml:space="preserve">1. </w:t>
      </w:r>
      <w:r w:rsidRPr="00A50B31">
        <w:rPr>
          <w:spacing w:val="-4"/>
          <w:sz w:val="30"/>
        </w:rPr>
        <w:t>Государственную статистическую отчетность по форме 6-т (гс) «Отчет о численности и распределении государственных гражданских служащих по полу, возрасту, образованию и стажу государственной гражданской службы» (далее – отчет) представляют государственные органы</w:t>
      </w:r>
      <w:r w:rsidRPr="00A50B31">
        <w:rPr>
          <w:sz w:val="30"/>
        </w:rPr>
        <w:t>.</w:t>
      </w:r>
    </w:p>
    <w:p w:rsidR="00EC0F8D" w:rsidRPr="00A50B31" w:rsidRDefault="00EC0F8D" w:rsidP="00EC0F8D">
      <w:pPr>
        <w:pStyle w:val="a7"/>
        <w:spacing w:after="0" w:line="350" w:lineRule="exact"/>
        <w:ind w:left="0" w:firstLine="720"/>
        <w:jc w:val="both"/>
        <w:rPr>
          <w:sz w:val="30"/>
        </w:rPr>
      </w:pPr>
      <w:r w:rsidRPr="00A50B31">
        <w:rPr>
          <w:sz w:val="30"/>
        </w:rPr>
        <w:t>Государственный орган –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EC0F8D" w:rsidRPr="00A50B31" w:rsidRDefault="00EC0F8D" w:rsidP="00EC0F8D">
      <w:pPr>
        <w:pStyle w:val="a7"/>
        <w:spacing w:after="0" w:line="350" w:lineRule="exact"/>
        <w:ind w:left="0" w:firstLine="720"/>
        <w:jc w:val="both"/>
        <w:rPr>
          <w:sz w:val="30"/>
        </w:rPr>
      </w:pPr>
      <w:r w:rsidRPr="00A50B31">
        <w:rPr>
          <w:sz w:val="30"/>
        </w:rPr>
        <w:t>Для целей настоящего государственного статистического наблюдения под государственными органами понимаются также государственные учреждения и иные государственные организации, обеспечивающие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государственными гражданскими служащими.</w:t>
      </w:r>
    </w:p>
    <w:p w:rsidR="00EC0F8D" w:rsidRPr="00A50B31" w:rsidRDefault="00EC0F8D" w:rsidP="00EC0F8D">
      <w:pPr>
        <w:pStyle w:val="a7"/>
        <w:spacing w:after="0" w:line="350" w:lineRule="exact"/>
        <w:ind w:left="0" w:firstLine="720"/>
        <w:jc w:val="both"/>
        <w:rPr>
          <w:sz w:val="30"/>
        </w:rPr>
      </w:pPr>
      <w:r w:rsidRPr="00A50B31">
        <w:rPr>
          <w:sz w:val="30"/>
        </w:rPr>
        <w:t>Отчет не представляют Министерство внутренних дел, Министерство обороны, Комитет государственной безопасности, Государственный пограничный комитет, Департамент финансовых расследований Комитета государственного контроля, Служба безопасности Президента Республики Беларусь, Оперативно-аналитический центр при Президенте Республики Беларусь, Следственный комитет, Государственный комитет судебных экспертиз.</w:t>
      </w:r>
    </w:p>
    <w:p w:rsidR="00EC0F8D" w:rsidRPr="00A50B31" w:rsidRDefault="00EC0F8D" w:rsidP="00EC0F8D">
      <w:pPr>
        <w:spacing w:line="360" w:lineRule="exact"/>
        <w:ind w:firstLine="720"/>
        <w:jc w:val="both"/>
        <w:rPr>
          <w:sz w:val="30"/>
        </w:rPr>
      </w:pPr>
      <w:r w:rsidRPr="00A50B31">
        <w:rPr>
          <w:sz w:val="30"/>
        </w:rPr>
        <w:t xml:space="preserve">2. </w:t>
      </w:r>
      <w:r w:rsidRPr="00A50B31">
        <w:rPr>
          <w:spacing w:val="-2"/>
          <w:sz w:val="30"/>
        </w:rPr>
        <w:t>Государственные органы, в том числе их структурные подразделения с правами юридического лица, самостоятельно составляют отчет.</w:t>
      </w:r>
    </w:p>
    <w:p w:rsidR="00EC0F8D" w:rsidRDefault="00EC0F8D" w:rsidP="00EC0F8D">
      <w:pPr>
        <w:spacing w:line="360" w:lineRule="exact"/>
        <w:ind w:firstLine="720"/>
        <w:jc w:val="both"/>
        <w:rPr>
          <w:sz w:val="30"/>
        </w:rPr>
      </w:pPr>
      <w:r w:rsidRPr="00A50B31">
        <w:rPr>
          <w:sz w:val="30"/>
        </w:rPr>
        <w:lastRenderedPageBreak/>
        <w:t xml:space="preserve">Государственные органы, в том числе их структурные подразделения с правами юридического лица, имеющие территориальные (обособленные) структурные подразделения без прав юридического лица, составляют отчет по каждому из </w:t>
      </w:r>
      <w:r w:rsidRPr="005230E9">
        <w:rPr>
          <w:sz w:val="30"/>
        </w:rPr>
        <w:t>них.</w:t>
      </w:r>
    </w:p>
    <w:p w:rsidR="00EC0F8D" w:rsidRPr="00A50B31" w:rsidRDefault="00EC0F8D" w:rsidP="00EC0F8D">
      <w:pPr>
        <w:spacing w:line="360" w:lineRule="exact"/>
        <w:ind w:firstLine="720"/>
        <w:jc w:val="both"/>
        <w:rPr>
          <w:sz w:val="30"/>
        </w:rPr>
      </w:pPr>
      <w:r>
        <w:rPr>
          <w:sz w:val="30"/>
        </w:rPr>
        <w:t>В графе 3 реквизита «</w:t>
      </w:r>
      <w:r w:rsidRPr="008534B1">
        <w:rPr>
          <w:sz w:val="30"/>
        </w:rPr>
        <w:t>Сведения о респонденте</w:t>
      </w:r>
      <w:r>
        <w:rPr>
          <w:sz w:val="30"/>
        </w:rPr>
        <w:t>»</w:t>
      </w:r>
      <w:r w:rsidRPr="008534B1">
        <w:rPr>
          <w:sz w:val="30"/>
        </w:rPr>
        <w:t xml:space="preserve"> указывается</w:t>
      </w:r>
      <w:r>
        <w:rPr>
          <w:sz w:val="30"/>
        </w:rPr>
        <w:t xml:space="preserve"> наименование государственного</w:t>
      </w:r>
      <w:r w:rsidRPr="00A50B31">
        <w:rPr>
          <w:sz w:val="30"/>
        </w:rPr>
        <w:t xml:space="preserve"> орган</w:t>
      </w:r>
      <w:r>
        <w:rPr>
          <w:sz w:val="30"/>
        </w:rPr>
        <w:t>а</w:t>
      </w:r>
      <w:r w:rsidRPr="00A50B31">
        <w:rPr>
          <w:sz w:val="30"/>
        </w:rPr>
        <w:t xml:space="preserve">, </w:t>
      </w:r>
      <w:r>
        <w:rPr>
          <w:sz w:val="30"/>
        </w:rPr>
        <w:t>структурного</w:t>
      </w:r>
      <w:r w:rsidRPr="00A50B31">
        <w:rPr>
          <w:sz w:val="30"/>
        </w:rPr>
        <w:t xml:space="preserve"> подразделения </w:t>
      </w:r>
      <w:r>
        <w:rPr>
          <w:sz w:val="30"/>
        </w:rPr>
        <w:t>государственного</w:t>
      </w:r>
      <w:r w:rsidRPr="00A50B31">
        <w:rPr>
          <w:sz w:val="30"/>
        </w:rPr>
        <w:t xml:space="preserve"> орган</w:t>
      </w:r>
      <w:r>
        <w:rPr>
          <w:sz w:val="30"/>
        </w:rPr>
        <w:t>а</w:t>
      </w:r>
      <w:r w:rsidRPr="00A50B31">
        <w:rPr>
          <w:sz w:val="30"/>
        </w:rPr>
        <w:t xml:space="preserve"> с правами юридического лица, </w:t>
      </w:r>
      <w:r>
        <w:rPr>
          <w:sz w:val="30"/>
        </w:rPr>
        <w:t>территориального (обособленного) структурного</w:t>
      </w:r>
      <w:r w:rsidRPr="00A50B31">
        <w:rPr>
          <w:sz w:val="30"/>
        </w:rPr>
        <w:t xml:space="preserve"> подраздел</w:t>
      </w:r>
      <w:r>
        <w:rPr>
          <w:sz w:val="30"/>
        </w:rPr>
        <w:t>ения без прав юридического лица.</w:t>
      </w:r>
    </w:p>
    <w:p w:rsidR="00EC0F8D" w:rsidRPr="00A50B31" w:rsidRDefault="00EC0F8D" w:rsidP="00EC0F8D">
      <w:pPr>
        <w:pStyle w:val="a7"/>
        <w:spacing w:after="0" w:line="360" w:lineRule="exact"/>
        <w:ind w:left="0" w:firstLine="720"/>
        <w:jc w:val="both"/>
        <w:rPr>
          <w:sz w:val="30"/>
        </w:rPr>
      </w:pPr>
      <w:r w:rsidRPr="000077D9">
        <w:rPr>
          <w:spacing w:val="-2"/>
          <w:sz w:val="30"/>
        </w:rPr>
        <w:t xml:space="preserve">По Министерству по чрезвычайным ситуациям составляются отчет </w:t>
      </w:r>
      <w:r>
        <w:rPr>
          <w:spacing w:val="-2"/>
          <w:sz w:val="30"/>
        </w:rPr>
        <w:br/>
      </w:r>
      <w:r w:rsidRPr="000077D9">
        <w:rPr>
          <w:spacing w:val="-2"/>
          <w:sz w:val="30"/>
        </w:rPr>
        <w:t xml:space="preserve">о численности работников центрального аппарата, отдельные отчеты </w:t>
      </w:r>
      <w:r>
        <w:rPr>
          <w:spacing w:val="-2"/>
          <w:sz w:val="30"/>
        </w:rPr>
        <w:br/>
      </w:r>
      <w:r w:rsidRPr="000077D9">
        <w:rPr>
          <w:spacing w:val="-2"/>
          <w:sz w:val="30"/>
        </w:rPr>
        <w:t>о численности</w:t>
      </w:r>
      <w:r w:rsidRPr="00A50B31">
        <w:rPr>
          <w:sz w:val="30"/>
        </w:rPr>
        <w:t xml:space="preserve"> работников аппаратов департаментов Министерства </w:t>
      </w:r>
      <w:r>
        <w:rPr>
          <w:sz w:val="30"/>
        </w:rPr>
        <w:br/>
      </w:r>
      <w:r w:rsidRPr="00A50B31">
        <w:rPr>
          <w:sz w:val="30"/>
        </w:rPr>
        <w:t>по чрезвычайным ситуациям, о численности работников обособленных территориальных подразделений, подчиненных департаментам Министерства по чрезвычайным ситуациям</w:t>
      </w:r>
      <w:r>
        <w:rPr>
          <w:sz w:val="30"/>
        </w:rPr>
        <w:t>.</w:t>
      </w:r>
    </w:p>
    <w:p w:rsidR="00EC0F8D" w:rsidRPr="00A50B31" w:rsidRDefault="00EC0F8D" w:rsidP="00EC0F8D">
      <w:pPr>
        <w:pStyle w:val="a7"/>
        <w:spacing w:after="0" w:line="360" w:lineRule="exact"/>
        <w:ind w:left="0" w:firstLine="720"/>
        <w:jc w:val="both"/>
        <w:rPr>
          <w:sz w:val="30"/>
        </w:rPr>
      </w:pPr>
      <w:r w:rsidRPr="00A50B31">
        <w:rPr>
          <w:sz w:val="30"/>
        </w:rPr>
        <w:t>В отношении районных (городских) судов составляются отдельные отчеты в целом по области (городу Минску).</w:t>
      </w:r>
    </w:p>
    <w:p w:rsidR="00EC0F8D" w:rsidRPr="00A50B31" w:rsidRDefault="00EC0F8D" w:rsidP="00EC0F8D">
      <w:pPr>
        <w:ind w:firstLine="709"/>
        <w:jc w:val="both"/>
        <w:rPr>
          <w:sz w:val="30"/>
        </w:rPr>
      </w:pPr>
      <w:r w:rsidRPr="00A50B31">
        <w:rPr>
          <w:sz w:val="30"/>
        </w:rPr>
        <w:t xml:space="preserve">3.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w:t>
      </w:r>
      <w:r w:rsidRPr="00A50B31">
        <w:rPr>
          <w:sz w:val="30"/>
        </w:rPr>
        <w:br/>
        <w:t xml:space="preserve">на официальном сайте Национального статистического комитета в глобальной компьютерной сети Интернет </w:t>
      </w:r>
      <w:hyperlink r:id="rId9" w:history="1">
        <w:r w:rsidRPr="00A50B31">
          <w:rPr>
            <w:rStyle w:val="ae"/>
            <w:sz w:val="30"/>
            <w:lang w:val="en-US"/>
          </w:rPr>
          <w:t>http</w:t>
        </w:r>
        <w:r w:rsidRPr="00A50B31">
          <w:rPr>
            <w:rStyle w:val="ae"/>
            <w:sz w:val="30"/>
          </w:rPr>
          <w:t>://</w:t>
        </w:r>
        <w:r w:rsidRPr="00A50B31">
          <w:rPr>
            <w:rStyle w:val="ae"/>
            <w:sz w:val="30"/>
            <w:lang w:val="en-US"/>
          </w:rPr>
          <w:t>www</w:t>
        </w:r>
        <w:r w:rsidRPr="00A50B31">
          <w:rPr>
            <w:rStyle w:val="ae"/>
            <w:sz w:val="30"/>
          </w:rPr>
          <w:t>.</w:t>
        </w:r>
        <w:proofErr w:type="spellStart"/>
        <w:r w:rsidRPr="00A50B31">
          <w:rPr>
            <w:rStyle w:val="ae"/>
            <w:sz w:val="30"/>
            <w:lang w:val="en-US"/>
          </w:rPr>
          <w:t>belstat</w:t>
        </w:r>
        <w:proofErr w:type="spellEnd"/>
        <w:r w:rsidRPr="00A50B31">
          <w:rPr>
            <w:rStyle w:val="ae"/>
            <w:sz w:val="30"/>
          </w:rPr>
          <w:t>.</w:t>
        </w:r>
        <w:proofErr w:type="spellStart"/>
        <w:r w:rsidRPr="00A50B31">
          <w:rPr>
            <w:rStyle w:val="ae"/>
            <w:sz w:val="30"/>
            <w:lang w:val="en-US"/>
          </w:rPr>
          <w:t>gov</w:t>
        </w:r>
        <w:proofErr w:type="spellEnd"/>
        <w:r w:rsidRPr="00A50B31">
          <w:rPr>
            <w:rStyle w:val="ae"/>
            <w:sz w:val="30"/>
          </w:rPr>
          <w:t>.</w:t>
        </w:r>
        <w:r w:rsidRPr="00A50B31">
          <w:rPr>
            <w:rStyle w:val="ae"/>
            <w:sz w:val="30"/>
            <w:lang w:val="en-US"/>
          </w:rPr>
          <w:t>by</w:t>
        </w:r>
      </w:hyperlink>
      <w:r w:rsidRPr="00A50B31">
        <w:rPr>
          <w:sz w:val="30"/>
        </w:rPr>
        <w:t>.</w:t>
      </w:r>
    </w:p>
    <w:p w:rsidR="00EC0F8D" w:rsidRPr="00A50B31" w:rsidRDefault="00EC0F8D" w:rsidP="00EC0F8D">
      <w:pPr>
        <w:pStyle w:val="a7"/>
        <w:spacing w:after="0" w:line="360" w:lineRule="exact"/>
        <w:ind w:left="0" w:firstLine="720"/>
        <w:jc w:val="both"/>
        <w:rPr>
          <w:spacing w:val="-8"/>
          <w:sz w:val="30"/>
        </w:rPr>
      </w:pPr>
      <w:r w:rsidRPr="00A50B31">
        <w:rPr>
          <w:spacing w:val="-4"/>
          <w:sz w:val="30"/>
        </w:rPr>
        <w:t xml:space="preserve">4. </w:t>
      </w:r>
      <w:r w:rsidRPr="00A50B31">
        <w:rPr>
          <w:spacing w:val="-8"/>
          <w:sz w:val="30"/>
        </w:rPr>
        <w:t>В отчете данные приводятся по состоянию на 1 ноября отчетного года.</w:t>
      </w:r>
    </w:p>
    <w:p w:rsidR="00EC0F8D" w:rsidRPr="00A50B31" w:rsidRDefault="00EC0F8D" w:rsidP="00EC0F8D">
      <w:pPr>
        <w:pStyle w:val="a7"/>
        <w:spacing w:after="0"/>
        <w:ind w:left="0" w:firstLine="720"/>
        <w:jc w:val="both"/>
        <w:rPr>
          <w:sz w:val="30"/>
        </w:rPr>
      </w:pPr>
      <w:r w:rsidRPr="00A50B31">
        <w:rPr>
          <w:sz w:val="30"/>
        </w:rPr>
        <w:t xml:space="preserve">5. По всем строкам раздела </w:t>
      </w:r>
      <w:r w:rsidRPr="00A50B31">
        <w:rPr>
          <w:sz w:val="30"/>
          <w:lang w:val="en-US"/>
        </w:rPr>
        <w:t>I</w:t>
      </w:r>
      <w:r w:rsidRPr="00A50B31">
        <w:rPr>
          <w:sz w:val="30"/>
        </w:rPr>
        <w:t xml:space="preserve"> в графах 1 и 4 допускается заполнение показателей с двумя знаками</w:t>
      </w:r>
      <w:r>
        <w:rPr>
          <w:sz w:val="30"/>
        </w:rPr>
        <w:t xml:space="preserve"> после запятой</w:t>
      </w:r>
      <w:r w:rsidRPr="00A50B31">
        <w:rPr>
          <w:sz w:val="30"/>
        </w:rPr>
        <w:t>, если это предусмотрено штатным расписанием, в графах 2 и 3 данные о фактической численности заполняются в целых числах.</w:t>
      </w:r>
    </w:p>
    <w:p w:rsidR="00EC0F8D" w:rsidRPr="00A50B31" w:rsidRDefault="00EC0F8D" w:rsidP="00EC0F8D">
      <w:pPr>
        <w:pStyle w:val="a7"/>
        <w:spacing w:after="0"/>
        <w:ind w:left="0" w:firstLine="720"/>
        <w:jc w:val="both"/>
        <w:rPr>
          <w:sz w:val="30"/>
        </w:rPr>
      </w:pPr>
      <w:r w:rsidRPr="00A50B31">
        <w:rPr>
          <w:sz w:val="30"/>
        </w:rPr>
        <w:t>По строке 01 раздела I отража</w:t>
      </w:r>
      <w:r>
        <w:rPr>
          <w:sz w:val="30"/>
        </w:rPr>
        <w:t>ю</w:t>
      </w:r>
      <w:r w:rsidRPr="00A50B31">
        <w:rPr>
          <w:sz w:val="30"/>
        </w:rPr>
        <w:t xml:space="preserve">тся </w:t>
      </w:r>
      <w:r>
        <w:rPr>
          <w:sz w:val="30"/>
        </w:rPr>
        <w:t>данные обо всех</w:t>
      </w:r>
      <w:r w:rsidRPr="00A50B31">
        <w:rPr>
          <w:sz w:val="30"/>
        </w:rPr>
        <w:t xml:space="preserve"> </w:t>
      </w:r>
      <w:r>
        <w:rPr>
          <w:sz w:val="30"/>
        </w:rPr>
        <w:t>работниках</w:t>
      </w:r>
      <w:r w:rsidRPr="00A50B31">
        <w:rPr>
          <w:sz w:val="30"/>
        </w:rPr>
        <w:t xml:space="preserve"> государственного органа в соответствии с утвержденным штатным расписанием.</w:t>
      </w:r>
    </w:p>
    <w:p w:rsidR="00EC0F8D" w:rsidRPr="00A50B31" w:rsidRDefault="00EC0F8D" w:rsidP="00EC0F8D">
      <w:pPr>
        <w:autoSpaceDE w:val="0"/>
        <w:autoSpaceDN w:val="0"/>
        <w:adjustRightInd w:val="0"/>
        <w:ind w:firstLine="720"/>
        <w:jc w:val="both"/>
        <w:rPr>
          <w:spacing w:val="-6"/>
          <w:sz w:val="30"/>
          <w:szCs w:val="30"/>
        </w:rPr>
      </w:pPr>
      <w:r w:rsidRPr="00A50B31">
        <w:rPr>
          <w:spacing w:val="-6"/>
          <w:sz w:val="30"/>
          <w:szCs w:val="30"/>
        </w:rPr>
        <w:t xml:space="preserve">По строке 02 </w:t>
      </w:r>
      <w:r w:rsidRPr="00A50B31">
        <w:rPr>
          <w:spacing w:val="-6"/>
          <w:sz w:val="30"/>
        </w:rPr>
        <w:t>раздела I</w:t>
      </w:r>
      <w:r w:rsidRPr="00A50B31">
        <w:rPr>
          <w:spacing w:val="-6"/>
          <w:sz w:val="30"/>
          <w:szCs w:val="30"/>
        </w:rPr>
        <w:t xml:space="preserve"> отража</w:t>
      </w:r>
      <w:r>
        <w:rPr>
          <w:spacing w:val="-6"/>
          <w:sz w:val="30"/>
          <w:szCs w:val="30"/>
        </w:rPr>
        <w:t>ю</w:t>
      </w:r>
      <w:r w:rsidRPr="00A50B31">
        <w:rPr>
          <w:spacing w:val="-6"/>
          <w:sz w:val="30"/>
          <w:szCs w:val="30"/>
        </w:rPr>
        <w:t xml:space="preserve">тся </w:t>
      </w:r>
      <w:r>
        <w:rPr>
          <w:spacing w:val="-6"/>
          <w:sz w:val="30"/>
          <w:szCs w:val="30"/>
        </w:rPr>
        <w:t>данные о работниках</w:t>
      </w:r>
      <w:r w:rsidRPr="00A50B31">
        <w:rPr>
          <w:spacing w:val="-6"/>
          <w:sz w:val="30"/>
          <w:szCs w:val="30"/>
        </w:rPr>
        <w:t xml:space="preserve">, включая государственных гражданских служащих, государственных органов, </w:t>
      </w:r>
      <w:r>
        <w:rPr>
          <w:spacing w:val="-6"/>
          <w:sz w:val="30"/>
          <w:szCs w:val="30"/>
        </w:rPr>
        <w:t xml:space="preserve">в том числе </w:t>
      </w:r>
      <w:r w:rsidRPr="00A50B31">
        <w:rPr>
          <w:spacing w:val="-6"/>
          <w:sz w:val="30"/>
          <w:szCs w:val="30"/>
        </w:rPr>
        <w:t>местных исполнительных и распорядительных органов</w:t>
      </w:r>
      <w:r>
        <w:rPr>
          <w:spacing w:val="-6"/>
          <w:sz w:val="30"/>
          <w:szCs w:val="30"/>
        </w:rPr>
        <w:t>,</w:t>
      </w:r>
      <w:r w:rsidRPr="00A50B31">
        <w:rPr>
          <w:spacing w:val="-6"/>
          <w:sz w:val="30"/>
          <w:szCs w:val="30"/>
        </w:rPr>
        <w:t xml:space="preserve"> иных государственных организаций (без учета работников по ох</w:t>
      </w:r>
      <w:r>
        <w:rPr>
          <w:spacing w:val="-6"/>
          <w:sz w:val="30"/>
          <w:szCs w:val="30"/>
        </w:rPr>
        <w:t>ране и обслуживанию зданий)</w:t>
      </w:r>
      <w:r w:rsidRPr="005B2B03">
        <w:rPr>
          <w:spacing w:val="-6"/>
          <w:sz w:val="30"/>
          <w:szCs w:val="30"/>
        </w:rPr>
        <w:t>.</w:t>
      </w:r>
      <w:r>
        <w:rPr>
          <w:spacing w:val="-6"/>
          <w:sz w:val="30"/>
          <w:szCs w:val="30"/>
        </w:rPr>
        <w:t xml:space="preserve"> По данной строке отражается численность работников,</w:t>
      </w:r>
      <w:r w:rsidRPr="00A50B31">
        <w:rPr>
          <w:spacing w:val="-6"/>
          <w:sz w:val="30"/>
          <w:szCs w:val="30"/>
        </w:rPr>
        <w:t xml:space="preserve"> установленн</w:t>
      </w:r>
      <w:r>
        <w:rPr>
          <w:spacing w:val="-6"/>
          <w:sz w:val="30"/>
          <w:szCs w:val="30"/>
        </w:rPr>
        <w:t>ая</w:t>
      </w:r>
      <w:r w:rsidRPr="00A50B31">
        <w:rPr>
          <w:spacing w:val="-6"/>
          <w:sz w:val="30"/>
          <w:szCs w:val="30"/>
        </w:rPr>
        <w:t xml:space="preserve"> законодательством.</w:t>
      </w:r>
    </w:p>
    <w:p w:rsidR="00EC0F8D" w:rsidRPr="00A50B31" w:rsidRDefault="00EC0F8D" w:rsidP="00EC0F8D">
      <w:pPr>
        <w:pStyle w:val="a7"/>
        <w:spacing w:after="0"/>
        <w:ind w:left="0" w:firstLine="720"/>
        <w:jc w:val="both"/>
        <w:rPr>
          <w:sz w:val="30"/>
        </w:rPr>
      </w:pPr>
      <w:r w:rsidRPr="00A50B31">
        <w:rPr>
          <w:sz w:val="30"/>
        </w:rPr>
        <w:t>По строке 04 раздела I отражается персонал, состоящий в штате государственного органа, данные о котором не отражены по строке 02 этого раздела.</w:t>
      </w:r>
    </w:p>
    <w:p w:rsidR="00EC0F8D" w:rsidRPr="00A50B31" w:rsidRDefault="00EC0F8D" w:rsidP="00EC0F8D">
      <w:pPr>
        <w:pStyle w:val="a7"/>
        <w:spacing w:after="0"/>
        <w:ind w:left="0" w:firstLine="720"/>
        <w:jc w:val="both"/>
        <w:rPr>
          <w:sz w:val="30"/>
        </w:rPr>
      </w:pPr>
      <w:r w:rsidRPr="00A50B31">
        <w:rPr>
          <w:sz w:val="30"/>
        </w:rPr>
        <w:lastRenderedPageBreak/>
        <w:t xml:space="preserve">6. В списочный состав работников включаются все работники, работавшие по трудовому договору (контракту) и выполнявшие постоянную или временную работу. </w:t>
      </w:r>
      <w:proofErr w:type="gramStart"/>
      <w:r w:rsidRPr="00A50B31">
        <w:rPr>
          <w:sz w:val="30"/>
        </w:rPr>
        <w:t>При этом должны быть отражены данные как о фактически работающих на 1 ноября работниках, так и о временно не работающих по каким-либо причинам (находящи</w:t>
      </w:r>
      <w:r>
        <w:rPr>
          <w:sz w:val="30"/>
        </w:rPr>
        <w:t>х</w:t>
      </w:r>
      <w:r w:rsidRPr="00A50B31">
        <w:rPr>
          <w:sz w:val="30"/>
        </w:rPr>
        <w:t>ся в отпусках по беременности и родам, по уходу за ребенком до достижения им возраста трех лет, трудовых отпусках, отпусках</w:t>
      </w:r>
      <w:r w:rsidR="008A0EDE">
        <w:rPr>
          <w:sz w:val="30"/>
        </w:rPr>
        <w:t xml:space="preserve"> без сохранения или с частичным сохранением заработной платы</w:t>
      </w:r>
      <w:r w:rsidR="00E53A3B" w:rsidRPr="00DF5A27">
        <w:rPr>
          <w:sz w:val="30"/>
        </w:rPr>
        <w:t>, предоставляемых</w:t>
      </w:r>
      <w:r w:rsidRPr="00A50B31">
        <w:rPr>
          <w:sz w:val="30"/>
        </w:rPr>
        <w:t xml:space="preserve"> по инициативе нанимателя, не явивши</w:t>
      </w:r>
      <w:r>
        <w:rPr>
          <w:sz w:val="30"/>
        </w:rPr>
        <w:t>х</w:t>
      </w:r>
      <w:r w:rsidRPr="00A50B31">
        <w:rPr>
          <w:sz w:val="30"/>
        </w:rPr>
        <w:t>ся на работу вследствие</w:t>
      </w:r>
      <w:proofErr w:type="gramEnd"/>
      <w:r w:rsidRPr="00A50B31">
        <w:rPr>
          <w:sz w:val="30"/>
        </w:rPr>
        <w:t xml:space="preserve"> временной нетрудоспособности и другим причинам). В списочный состав не включаются внешние совместители и граждане, выполняющие работы по гражданско-правовым договорам.</w:t>
      </w:r>
    </w:p>
    <w:p w:rsidR="00EC0F8D" w:rsidRPr="00A50B31" w:rsidRDefault="00EC0F8D" w:rsidP="00EC0F8D">
      <w:pPr>
        <w:pStyle w:val="a7"/>
        <w:spacing w:after="0"/>
        <w:ind w:left="0" w:firstLine="720"/>
        <w:jc w:val="both"/>
        <w:rPr>
          <w:sz w:val="30"/>
        </w:rPr>
      </w:pPr>
      <w:r w:rsidRPr="00A50B31">
        <w:rPr>
          <w:sz w:val="30"/>
        </w:rPr>
        <w:t>В случае наличия на штатных должностях двух работников в графе 2 раздела I отражаются данные о работнике, фактически работающем взамен отсутствующего ввиду продолжительной болезни, отпуска по беременности и родам, по уходу за ребенком до достижения им возраста трех лет, по другим причинам.</w:t>
      </w:r>
    </w:p>
    <w:p w:rsidR="00EC0F8D" w:rsidRPr="00A50B31" w:rsidRDefault="00EC0F8D" w:rsidP="00EC0F8D">
      <w:pPr>
        <w:pStyle w:val="a7"/>
        <w:spacing w:after="0"/>
        <w:ind w:left="0" w:firstLine="720"/>
        <w:jc w:val="both"/>
        <w:rPr>
          <w:sz w:val="30"/>
        </w:rPr>
      </w:pPr>
      <w:r w:rsidRPr="00A50B31">
        <w:rPr>
          <w:sz w:val="30"/>
        </w:rPr>
        <w:t>Данные о работнике, работающем в качестве внутреннего совместителя или на условиях неполного рабочего времени, отражаются как об одном человеке. Если на одной должности работают два работника, оформленные на 0,5 должностного оклада (ставки), то в отчете отражаются данные о двух работниках.</w:t>
      </w:r>
    </w:p>
    <w:p w:rsidR="00EC0F8D" w:rsidRPr="00A50B31" w:rsidRDefault="00EC0F8D" w:rsidP="00EC0F8D">
      <w:pPr>
        <w:pStyle w:val="a7"/>
        <w:spacing w:after="0"/>
        <w:ind w:left="0" w:firstLine="720"/>
        <w:jc w:val="both"/>
        <w:rPr>
          <w:sz w:val="30"/>
        </w:rPr>
      </w:pPr>
      <w:r w:rsidRPr="00A50B31">
        <w:rPr>
          <w:sz w:val="30"/>
        </w:rPr>
        <w:t>7. При распределении государственных гражданских служащих по занимаемым государственным гражданским должностям следует иметь в виду следующее.</w:t>
      </w:r>
    </w:p>
    <w:p w:rsidR="00EC0F8D" w:rsidRPr="00A50B31" w:rsidRDefault="00EC0F8D" w:rsidP="00EC0F8D">
      <w:pPr>
        <w:pStyle w:val="a7"/>
        <w:spacing w:after="0"/>
        <w:ind w:left="0" w:firstLine="720"/>
        <w:jc w:val="both"/>
        <w:rPr>
          <w:sz w:val="30"/>
        </w:rPr>
      </w:pPr>
      <w:r w:rsidRPr="00A50B31">
        <w:rPr>
          <w:sz w:val="30"/>
        </w:rPr>
        <w:t xml:space="preserve">По строкам 11 раздела II и 31 раздела </w:t>
      </w:r>
      <w:r w:rsidRPr="00A50B31">
        <w:rPr>
          <w:sz w:val="30"/>
          <w:lang w:val="en-US"/>
        </w:rPr>
        <w:t>III</w:t>
      </w:r>
      <w:r w:rsidRPr="00A50B31">
        <w:rPr>
          <w:sz w:val="30"/>
        </w:rPr>
        <w:t xml:space="preserve"> отражаются данные о государственных гражданских служащих, занимающих должности министра, управляющего, председателя, директора, начальника и тому подобное.</w:t>
      </w:r>
    </w:p>
    <w:p w:rsidR="00EC0F8D" w:rsidRPr="00A50B31" w:rsidRDefault="00EC0F8D" w:rsidP="00EC0F8D">
      <w:pPr>
        <w:pStyle w:val="a7"/>
        <w:spacing w:after="0"/>
        <w:ind w:left="0" w:firstLine="720"/>
        <w:jc w:val="both"/>
        <w:rPr>
          <w:sz w:val="30"/>
        </w:rPr>
      </w:pPr>
      <w:r w:rsidRPr="00A50B31">
        <w:rPr>
          <w:sz w:val="30"/>
        </w:rPr>
        <w:t xml:space="preserve">По строкам 12 раздела II и 32 раздела III отражаются данные о государственных гражданских </w:t>
      </w:r>
      <w:r>
        <w:rPr>
          <w:sz w:val="30"/>
        </w:rPr>
        <w:t>служащих, занимающих</w:t>
      </w:r>
      <w:r w:rsidRPr="00A50B31">
        <w:rPr>
          <w:sz w:val="30"/>
        </w:rPr>
        <w:t xml:space="preserve"> должности руководителей районных и городских территориальных (обособленных) структурных подразделений государственных органов без прав юридического лица и их заместителей.</w:t>
      </w:r>
    </w:p>
    <w:p w:rsidR="00EC0F8D" w:rsidRPr="00A776F3" w:rsidRDefault="00EC0F8D" w:rsidP="00EC0F8D">
      <w:pPr>
        <w:pStyle w:val="a7"/>
        <w:spacing w:after="0"/>
        <w:ind w:left="0" w:firstLine="720"/>
        <w:jc w:val="both"/>
        <w:rPr>
          <w:sz w:val="30"/>
        </w:rPr>
      </w:pPr>
      <w:r w:rsidRPr="00A776F3">
        <w:rPr>
          <w:sz w:val="30"/>
        </w:rPr>
        <w:t xml:space="preserve">По строкам 18 раздела II и 38 раздела III отражаются данные о государственных </w:t>
      </w:r>
      <w:r w:rsidRPr="00A50B31">
        <w:rPr>
          <w:sz w:val="30"/>
        </w:rPr>
        <w:t>гражданских</w:t>
      </w:r>
      <w:r w:rsidRPr="00A776F3">
        <w:rPr>
          <w:sz w:val="30"/>
        </w:rPr>
        <w:t xml:space="preserve"> служащих, занимающих должности специалистов.</w:t>
      </w:r>
    </w:p>
    <w:p w:rsidR="00EC0F8D" w:rsidRPr="00A50B31" w:rsidRDefault="00EC0F8D" w:rsidP="00EC0F8D">
      <w:pPr>
        <w:pStyle w:val="a7"/>
        <w:spacing w:after="0"/>
        <w:ind w:left="0" w:firstLine="720"/>
        <w:jc w:val="both"/>
        <w:rPr>
          <w:sz w:val="30"/>
        </w:rPr>
      </w:pPr>
      <w:r w:rsidRPr="00A50B31">
        <w:rPr>
          <w:sz w:val="30"/>
        </w:rPr>
        <w:t xml:space="preserve">По строкам 19 раздела II и 39 раздела III отражаются данные о работниках, занимающих должности судей, судебных исполнителей, консультантов судов, прокурорских работников, юрисконсультов и тому подобное, кроме отраженных по должностям руководителей и их заместителей по строкам </w:t>
      </w:r>
      <w:r>
        <w:rPr>
          <w:sz w:val="30"/>
        </w:rPr>
        <w:t xml:space="preserve">с </w:t>
      </w:r>
      <w:r w:rsidRPr="00A50B31">
        <w:rPr>
          <w:sz w:val="30"/>
        </w:rPr>
        <w:t>11</w:t>
      </w:r>
      <w:r>
        <w:rPr>
          <w:sz w:val="30"/>
        </w:rPr>
        <w:t xml:space="preserve"> по </w:t>
      </w:r>
      <w:r w:rsidRPr="00A50B31">
        <w:rPr>
          <w:sz w:val="30"/>
        </w:rPr>
        <w:t xml:space="preserve">13 раздела II и </w:t>
      </w:r>
      <w:r>
        <w:rPr>
          <w:sz w:val="30"/>
        </w:rPr>
        <w:t xml:space="preserve">с </w:t>
      </w:r>
      <w:r w:rsidRPr="00A50B31">
        <w:rPr>
          <w:sz w:val="30"/>
        </w:rPr>
        <w:t>31</w:t>
      </w:r>
      <w:r>
        <w:rPr>
          <w:sz w:val="30"/>
        </w:rPr>
        <w:t xml:space="preserve"> по </w:t>
      </w:r>
      <w:r w:rsidRPr="00A50B31">
        <w:rPr>
          <w:sz w:val="30"/>
        </w:rPr>
        <w:t>33 раздела III.</w:t>
      </w:r>
    </w:p>
    <w:p w:rsidR="00EC0F8D" w:rsidRPr="00A50B31" w:rsidRDefault="00EC0F8D" w:rsidP="00EC0F8D">
      <w:pPr>
        <w:pStyle w:val="a7"/>
        <w:spacing w:after="0"/>
        <w:ind w:left="0" w:firstLine="720"/>
        <w:jc w:val="both"/>
        <w:rPr>
          <w:sz w:val="30"/>
        </w:rPr>
      </w:pPr>
      <w:r w:rsidRPr="00A50B31">
        <w:rPr>
          <w:sz w:val="30"/>
        </w:rPr>
        <w:lastRenderedPageBreak/>
        <w:t>Данные о государственных гражданских служащих, занимающих государственные гражданские должности, не указанные в отчете, должны быть отражены по выделенным в отчете группам должностей, которые близки по характеру выполняемой ими работы. Если указанные работники не могут быть отнесены ни к одной из перечисленных в отчете групп должностей, то данные о них отражаются по строкам 20 раздела II и 40 раздела III.</w:t>
      </w:r>
    </w:p>
    <w:p w:rsidR="00EC0F8D" w:rsidRPr="00A50B31" w:rsidRDefault="00EC0F8D" w:rsidP="00EC0F8D">
      <w:pPr>
        <w:pStyle w:val="a7"/>
        <w:spacing w:after="0"/>
        <w:ind w:left="0" w:firstLine="720"/>
        <w:jc w:val="both"/>
        <w:rPr>
          <w:sz w:val="30"/>
        </w:rPr>
      </w:pPr>
      <w:r w:rsidRPr="00A50B31">
        <w:rPr>
          <w:sz w:val="30"/>
        </w:rPr>
        <w:t>8. В разделе II распределение численности государственных гражданских служащих по возрастным группам производится по числу полных лет, исполнившихся им по состоянию на 1 ноября, при этом в графах 13 и 14 отражаются данные о государственных гражданских служащих, достигших общеуста</w:t>
      </w:r>
      <w:r>
        <w:rPr>
          <w:sz w:val="30"/>
        </w:rPr>
        <w:t>новленного пенсионного возраста</w:t>
      </w:r>
      <w:r w:rsidRPr="00A50B31">
        <w:rPr>
          <w:sz w:val="30"/>
        </w:rPr>
        <w:t xml:space="preserve"> и старше.</w:t>
      </w:r>
    </w:p>
    <w:p w:rsidR="00EC0F8D" w:rsidRPr="00A50B31" w:rsidRDefault="00EC0F8D" w:rsidP="00EC0F8D">
      <w:pPr>
        <w:pStyle w:val="a7"/>
        <w:spacing w:after="0"/>
        <w:ind w:left="0" w:firstLine="720"/>
        <w:jc w:val="both"/>
        <w:rPr>
          <w:sz w:val="30"/>
        </w:rPr>
      </w:pPr>
      <w:r w:rsidRPr="00A50B31">
        <w:rPr>
          <w:sz w:val="30"/>
        </w:rPr>
        <w:t xml:space="preserve">9. В графе 2 раздела III отражаются данные о работниках, имеющих диплом о высшем образовании, в графе 3 – имеющих диплом о среднем специальном образовании. Уровень образования определяется по самому высокому уровню образования работника, полученному в учреждении образования. Данные о работниках, </w:t>
      </w:r>
      <w:r>
        <w:rPr>
          <w:sz w:val="30"/>
        </w:rPr>
        <w:t>получающих высшее образование</w:t>
      </w:r>
      <w:r w:rsidRPr="00A50B31">
        <w:rPr>
          <w:sz w:val="30"/>
        </w:rPr>
        <w:t>, отражаются в соответствии с образованием, которое они получили до поступления в учреждение высшего образования.</w:t>
      </w:r>
    </w:p>
    <w:p w:rsidR="00EC0F8D" w:rsidRPr="00A50B31" w:rsidRDefault="00EC0F8D" w:rsidP="00EC0F8D">
      <w:pPr>
        <w:pStyle w:val="a7"/>
        <w:spacing w:after="0"/>
        <w:ind w:left="0" w:firstLine="720"/>
        <w:jc w:val="both"/>
        <w:rPr>
          <w:sz w:val="30"/>
        </w:rPr>
      </w:pPr>
      <w:r w:rsidRPr="00A50B31">
        <w:rPr>
          <w:sz w:val="30"/>
        </w:rPr>
        <w:t xml:space="preserve">10. В графах </w:t>
      </w:r>
      <w:r>
        <w:rPr>
          <w:sz w:val="30"/>
        </w:rPr>
        <w:t xml:space="preserve">с </w:t>
      </w:r>
      <w:r w:rsidRPr="00A50B31">
        <w:rPr>
          <w:sz w:val="30"/>
        </w:rPr>
        <w:t>5</w:t>
      </w:r>
      <w:r>
        <w:rPr>
          <w:sz w:val="30"/>
        </w:rPr>
        <w:t xml:space="preserve"> по </w:t>
      </w:r>
      <w:r w:rsidRPr="00A50B31">
        <w:rPr>
          <w:sz w:val="30"/>
        </w:rPr>
        <w:t xml:space="preserve">11 раздела III численность государственных гражданских служащих распределяется по стажу государственной гражданской службы. </w:t>
      </w:r>
      <w:r>
        <w:rPr>
          <w:sz w:val="30"/>
        </w:rPr>
        <w:t xml:space="preserve">Стаж </w:t>
      </w:r>
      <w:r w:rsidRPr="00A50B31">
        <w:rPr>
          <w:sz w:val="30"/>
        </w:rPr>
        <w:t>государственной гражданской службы</w:t>
      </w:r>
      <w:r>
        <w:rPr>
          <w:sz w:val="30"/>
        </w:rPr>
        <w:t xml:space="preserve"> определяется</w:t>
      </w:r>
      <w:r w:rsidRPr="00A50B31">
        <w:rPr>
          <w:sz w:val="30"/>
        </w:rPr>
        <w:t xml:space="preserve"> в соответствии с законодательством. Стаж государственной гражданской службы исчисляется по числу полных лет, кроме стажа государственной гражданской службы менее одного года.</w:t>
      </w:r>
    </w:p>
    <w:p w:rsidR="00EC0F8D" w:rsidRPr="00A50B31" w:rsidRDefault="00EC0F8D" w:rsidP="00EC0F8D">
      <w:pPr>
        <w:pStyle w:val="a7"/>
        <w:spacing w:after="0"/>
        <w:ind w:left="0" w:firstLine="720"/>
        <w:jc w:val="both"/>
        <w:rPr>
          <w:sz w:val="30"/>
        </w:rPr>
      </w:pPr>
    </w:p>
    <w:p w:rsidR="00EC0F8D" w:rsidRPr="004737B6" w:rsidRDefault="00EC0F8D" w:rsidP="00EC0F8D">
      <w:pPr>
        <w:pStyle w:val="30"/>
        <w:spacing w:line="200" w:lineRule="exact"/>
        <w:ind w:firstLine="720"/>
        <w:rPr>
          <w:sz w:val="20"/>
        </w:rPr>
      </w:pPr>
      <w:r w:rsidRPr="00A50B31">
        <w:rPr>
          <w:bCs/>
          <w:iCs/>
          <w:sz w:val="20"/>
        </w:rPr>
        <w:t>Примечание.</w:t>
      </w:r>
      <w:r w:rsidRPr="00A50B31">
        <w:rPr>
          <w:sz w:val="20"/>
        </w:rPr>
        <w:t xml:space="preserve"> </w:t>
      </w:r>
      <w:r w:rsidRPr="00A50B31">
        <w:rPr>
          <w:iCs/>
          <w:sz w:val="20"/>
        </w:rPr>
        <w:t>Терминология, применяемая в настоящих Указаниях, используется только для заполнения отчета.</w:t>
      </w:r>
    </w:p>
    <w:p w:rsidR="00EC0F8D" w:rsidRPr="00BF695D" w:rsidRDefault="00EC0F8D" w:rsidP="00EC0F8D">
      <w:pPr>
        <w:rPr>
          <w:lang w:eastAsia="x-none"/>
        </w:rPr>
      </w:pPr>
    </w:p>
    <w:p w:rsidR="00EB0E7D" w:rsidRDefault="00EB0E7D" w:rsidP="00CE4FD2">
      <w:pPr>
        <w:spacing w:before="120" w:line="160" w:lineRule="exact"/>
        <w:jc w:val="both"/>
      </w:pPr>
    </w:p>
    <w:sectPr w:rsidR="00EB0E7D" w:rsidSect="00EC0F8D">
      <w:headerReference w:type="even" r:id="rId10"/>
      <w:headerReference w:type="default" r:id="rId11"/>
      <w:type w:val="continuous"/>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A1A" w:rsidRDefault="00720A1A">
      <w:r>
        <w:separator/>
      </w:r>
    </w:p>
  </w:endnote>
  <w:endnote w:type="continuationSeparator" w:id="0">
    <w:p w:rsidR="00720A1A" w:rsidRDefault="0072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A1A" w:rsidRDefault="00720A1A">
      <w:r>
        <w:separator/>
      </w:r>
    </w:p>
  </w:footnote>
  <w:footnote w:type="continuationSeparator" w:id="0">
    <w:p w:rsidR="00720A1A" w:rsidRDefault="00720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1E" w:rsidRDefault="00055F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711E" w:rsidRDefault="00720A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1E" w:rsidRPr="008B1150" w:rsidRDefault="00055F2D">
    <w:pPr>
      <w:pStyle w:val="a3"/>
      <w:framePr w:wrap="around" w:vAnchor="text" w:hAnchor="margin" w:xAlign="center" w:y="1"/>
      <w:rPr>
        <w:rStyle w:val="a5"/>
        <w:sz w:val="28"/>
      </w:rPr>
    </w:pPr>
    <w:r w:rsidRPr="008B1150">
      <w:rPr>
        <w:rStyle w:val="a5"/>
        <w:sz w:val="28"/>
      </w:rPr>
      <w:fldChar w:fldCharType="begin"/>
    </w:r>
    <w:r w:rsidRPr="008B1150">
      <w:rPr>
        <w:rStyle w:val="a5"/>
        <w:sz w:val="28"/>
      </w:rPr>
      <w:instrText xml:space="preserve">PAGE  </w:instrText>
    </w:r>
    <w:r w:rsidRPr="008B1150">
      <w:rPr>
        <w:rStyle w:val="a5"/>
        <w:sz w:val="28"/>
      </w:rPr>
      <w:fldChar w:fldCharType="separate"/>
    </w:r>
    <w:r w:rsidR="00CD6330">
      <w:rPr>
        <w:rStyle w:val="a5"/>
        <w:noProof/>
        <w:sz w:val="28"/>
      </w:rPr>
      <w:t>4</w:t>
    </w:r>
    <w:r w:rsidRPr="008B1150">
      <w:rPr>
        <w:rStyle w:val="a5"/>
        <w:sz w:val="28"/>
      </w:rPr>
      <w:fldChar w:fldCharType="end"/>
    </w:r>
  </w:p>
  <w:p w:rsidR="002D711E" w:rsidRDefault="00720A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A69EA"/>
    <w:multiLevelType w:val="singleLevel"/>
    <w:tmpl w:val="1AB4CDB8"/>
    <w:lvl w:ilvl="0">
      <w:numFmt w:val="bullet"/>
      <w:lvlText w:val="-"/>
      <w:lvlJc w:val="left"/>
      <w:pPr>
        <w:tabs>
          <w:tab w:val="num" w:pos="927"/>
        </w:tabs>
        <w:ind w:left="0" w:firstLine="567"/>
      </w:pPr>
      <w:rPr>
        <w:rFonts w:hint="default"/>
      </w:rPr>
    </w:lvl>
  </w:abstractNum>
  <w:abstractNum w:abstractNumId="1">
    <w:nsid w:val="5F4E0516"/>
    <w:multiLevelType w:val="singleLevel"/>
    <w:tmpl w:val="7CE6203C"/>
    <w:lvl w:ilvl="0">
      <w:numFmt w:val="bullet"/>
      <w:lvlText w:val="-"/>
      <w:lvlJc w:val="left"/>
      <w:pPr>
        <w:tabs>
          <w:tab w:val="num" w:pos="927"/>
        </w:tabs>
        <w:ind w:left="927" w:hanging="360"/>
      </w:pPr>
      <w:rPr>
        <w:rFonts w:hint="default"/>
      </w:rPr>
    </w:lvl>
  </w:abstractNum>
  <w:abstractNum w:abstractNumId="2">
    <w:nsid w:val="74414220"/>
    <w:multiLevelType w:val="singleLevel"/>
    <w:tmpl w:val="084C9DFA"/>
    <w:lvl w:ilvl="0">
      <w:start w:val="14"/>
      <w:numFmt w:val="decimal"/>
      <w:lvlText w:val="%1"/>
      <w:lvlJc w:val="left"/>
      <w:pPr>
        <w:tabs>
          <w:tab w:val="num" w:pos="660"/>
        </w:tabs>
        <w:ind w:left="6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D1"/>
    <w:rsid w:val="00010B7B"/>
    <w:rsid w:val="000366B7"/>
    <w:rsid w:val="00036849"/>
    <w:rsid w:val="00050703"/>
    <w:rsid w:val="000542E1"/>
    <w:rsid w:val="00055F2D"/>
    <w:rsid w:val="00060DB9"/>
    <w:rsid w:val="00061B7F"/>
    <w:rsid w:val="00071E36"/>
    <w:rsid w:val="000969BC"/>
    <w:rsid w:val="000B6E68"/>
    <w:rsid w:val="000D5D1A"/>
    <w:rsid w:val="00101C64"/>
    <w:rsid w:val="001051B0"/>
    <w:rsid w:val="00105948"/>
    <w:rsid w:val="0012122B"/>
    <w:rsid w:val="00133ECF"/>
    <w:rsid w:val="00136188"/>
    <w:rsid w:val="0014340E"/>
    <w:rsid w:val="0017611D"/>
    <w:rsid w:val="001827E5"/>
    <w:rsid w:val="00187040"/>
    <w:rsid w:val="001B0E4A"/>
    <w:rsid w:val="001B72CB"/>
    <w:rsid w:val="001F1E27"/>
    <w:rsid w:val="001F353D"/>
    <w:rsid w:val="001F66CD"/>
    <w:rsid w:val="00206857"/>
    <w:rsid w:val="00223DE7"/>
    <w:rsid w:val="00224968"/>
    <w:rsid w:val="00226544"/>
    <w:rsid w:val="00266C13"/>
    <w:rsid w:val="00266CF1"/>
    <w:rsid w:val="00281333"/>
    <w:rsid w:val="00295B4F"/>
    <w:rsid w:val="002B0DE0"/>
    <w:rsid w:val="002B28F1"/>
    <w:rsid w:val="002C7923"/>
    <w:rsid w:val="002D18BA"/>
    <w:rsid w:val="002E3EC6"/>
    <w:rsid w:val="002E4CA8"/>
    <w:rsid w:val="002F79E3"/>
    <w:rsid w:val="00302042"/>
    <w:rsid w:val="0031064E"/>
    <w:rsid w:val="00320CA2"/>
    <w:rsid w:val="00351D40"/>
    <w:rsid w:val="00353E2B"/>
    <w:rsid w:val="00353FCB"/>
    <w:rsid w:val="00375D26"/>
    <w:rsid w:val="003B52C9"/>
    <w:rsid w:val="003B698E"/>
    <w:rsid w:val="003C1503"/>
    <w:rsid w:val="003C1C1D"/>
    <w:rsid w:val="003E1266"/>
    <w:rsid w:val="003F3BFB"/>
    <w:rsid w:val="003F7462"/>
    <w:rsid w:val="0040036F"/>
    <w:rsid w:val="004169A7"/>
    <w:rsid w:val="00493090"/>
    <w:rsid w:val="004A5FDF"/>
    <w:rsid w:val="004C7471"/>
    <w:rsid w:val="004F1C09"/>
    <w:rsid w:val="00521EE6"/>
    <w:rsid w:val="00524DBC"/>
    <w:rsid w:val="0053059E"/>
    <w:rsid w:val="00563095"/>
    <w:rsid w:val="005641AB"/>
    <w:rsid w:val="005957E3"/>
    <w:rsid w:val="005A453E"/>
    <w:rsid w:val="005A6CEE"/>
    <w:rsid w:val="005C3F30"/>
    <w:rsid w:val="005C488E"/>
    <w:rsid w:val="005D47B2"/>
    <w:rsid w:val="005E3695"/>
    <w:rsid w:val="0060244C"/>
    <w:rsid w:val="006315D3"/>
    <w:rsid w:val="00646E69"/>
    <w:rsid w:val="00656E7C"/>
    <w:rsid w:val="00671BCB"/>
    <w:rsid w:val="006804AF"/>
    <w:rsid w:val="0069614A"/>
    <w:rsid w:val="006A5DBC"/>
    <w:rsid w:val="006A5DEE"/>
    <w:rsid w:val="006B3B13"/>
    <w:rsid w:val="006E230E"/>
    <w:rsid w:val="006E7AF0"/>
    <w:rsid w:val="006F4840"/>
    <w:rsid w:val="00720A1A"/>
    <w:rsid w:val="00734BAA"/>
    <w:rsid w:val="00743D12"/>
    <w:rsid w:val="00750A31"/>
    <w:rsid w:val="00757B71"/>
    <w:rsid w:val="00760628"/>
    <w:rsid w:val="00785798"/>
    <w:rsid w:val="007D76A9"/>
    <w:rsid w:val="007E2ECC"/>
    <w:rsid w:val="0082616E"/>
    <w:rsid w:val="00835E45"/>
    <w:rsid w:val="00837208"/>
    <w:rsid w:val="00837361"/>
    <w:rsid w:val="00874B70"/>
    <w:rsid w:val="008801A9"/>
    <w:rsid w:val="00880428"/>
    <w:rsid w:val="00891E33"/>
    <w:rsid w:val="00893E83"/>
    <w:rsid w:val="0089451A"/>
    <w:rsid w:val="00896C1A"/>
    <w:rsid w:val="008A0EDE"/>
    <w:rsid w:val="008B0518"/>
    <w:rsid w:val="008C4208"/>
    <w:rsid w:val="008C4B50"/>
    <w:rsid w:val="008E0DFF"/>
    <w:rsid w:val="008E36AD"/>
    <w:rsid w:val="008F4D5C"/>
    <w:rsid w:val="0092090F"/>
    <w:rsid w:val="009257B6"/>
    <w:rsid w:val="00963E6D"/>
    <w:rsid w:val="009736AF"/>
    <w:rsid w:val="00974C6C"/>
    <w:rsid w:val="00990E92"/>
    <w:rsid w:val="009923FD"/>
    <w:rsid w:val="009C64A7"/>
    <w:rsid w:val="009D05AE"/>
    <w:rsid w:val="009D1AD5"/>
    <w:rsid w:val="009E68AD"/>
    <w:rsid w:val="009F2AF2"/>
    <w:rsid w:val="009F5230"/>
    <w:rsid w:val="00A160C6"/>
    <w:rsid w:val="00A403A4"/>
    <w:rsid w:val="00A4703E"/>
    <w:rsid w:val="00A519B6"/>
    <w:rsid w:val="00A65C0A"/>
    <w:rsid w:val="00A824BA"/>
    <w:rsid w:val="00A84131"/>
    <w:rsid w:val="00A96320"/>
    <w:rsid w:val="00AA2910"/>
    <w:rsid w:val="00AA6CA6"/>
    <w:rsid w:val="00AB3D70"/>
    <w:rsid w:val="00AB58E0"/>
    <w:rsid w:val="00AF3FF7"/>
    <w:rsid w:val="00AF5AD5"/>
    <w:rsid w:val="00AF7CD1"/>
    <w:rsid w:val="00B4170B"/>
    <w:rsid w:val="00B5373C"/>
    <w:rsid w:val="00B569CB"/>
    <w:rsid w:val="00B67B4D"/>
    <w:rsid w:val="00B75AA6"/>
    <w:rsid w:val="00BA55A0"/>
    <w:rsid w:val="00BC4E13"/>
    <w:rsid w:val="00BD03F1"/>
    <w:rsid w:val="00BD1844"/>
    <w:rsid w:val="00BD7BE5"/>
    <w:rsid w:val="00BF7F85"/>
    <w:rsid w:val="00C20B90"/>
    <w:rsid w:val="00C50AD7"/>
    <w:rsid w:val="00C5796E"/>
    <w:rsid w:val="00C62EE2"/>
    <w:rsid w:val="00CA2F19"/>
    <w:rsid w:val="00CC1B8E"/>
    <w:rsid w:val="00CC3944"/>
    <w:rsid w:val="00CD3CC9"/>
    <w:rsid w:val="00CD60C5"/>
    <w:rsid w:val="00CD6330"/>
    <w:rsid w:val="00CE4FD2"/>
    <w:rsid w:val="00CF215B"/>
    <w:rsid w:val="00CF34A0"/>
    <w:rsid w:val="00D24807"/>
    <w:rsid w:val="00D33812"/>
    <w:rsid w:val="00D37FC1"/>
    <w:rsid w:val="00D625FD"/>
    <w:rsid w:val="00D735B4"/>
    <w:rsid w:val="00D86A14"/>
    <w:rsid w:val="00D91DEF"/>
    <w:rsid w:val="00DB6508"/>
    <w:rsid w:val="00DC483C"/>
    <w:rsid w:val="00DD72CB"/>
    <w:rsid w:val="00DE003A"/>
    <w:rsid w:val="00DE355C"/>
    <w:rsid w:val="00DE70C5"/>
    <w:rsid w:val="00DF1EA6"/>
    <w:rsid w:val="00DF5A27"/>
    <w:rsid w:val="00E063EB"/>
    <w:rsid w:val="00E1435C"/>
    <w:rsid w:val="00E27040"/>
    <w:rsid w:val="00E40728"/>
    <w:rsid w:val="00E427EC"/>
    <w:rsid w:val="00E53A3B"/>
    <w:rsid w:val="00E668D7"/>
    <w:rsid w:val="00E70257"/>
    <w:rsid w:val="00EA50FB"/>
    <w:rsid w:val="00EA5EAA"/>
    <w:rsid w:val="00EB008D"/>
    <w:rsid w:val="00EB0E7D"/>
    <w:rsid w:val="00EC0F8D"/>
    <w:rsid w:val="00EC18DC"/>
    <w:rsid w:val="00EC24C1"/>
    <w:rsid w:val="00EE19A1"/>
    <w:rsid w:val="00EE6019"/>
    <w:rsid w:val="00F03B2E"/>
    <w:rsid w:val="00F27AA7"/>
    <w:rsid w:val="00F3521F"/>
    <w:rsid w:val="00F4225C"/>
    <w:rsid w:val="00F429B6"/>
    <w:rsid w:val="00F5087B"/>
    <w:rsid w:val="00F57718"/>
    <w:rsid w:val="00F856CD"/>
    <w:rsid w:val="00FB0EC8"/>
    <w:rsid w:val="00FC7870"/>
    <w:rsid w:val="00FD15B1"/>
    <w:rsid w:val="00FD781B"/>
    <w:rsid w:val="00FF0ACF"/>
    <w:rsid w:val="00FF363E"/>
    <w:rsid w:val="00FF7086"/>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D7"/>
  </w:style>
  <w:style w:type="paragraph" w:styleId="1">
    <w:name w:val="heading 1"/>
    <w:basedOn w:val="a"/>
    <w:next w:val="a"/>
    <w:qFormat/>
    <w:rsid w:val="00C50AD7"/>
    <w:pPr>
      <w:keepNext/>
      <w:ind w:left="3539" w:firstLine="709"/>
      <w:jc w:val="both"/>
      <w:outlineLvl w:val="0"/>
    </w:pPr>
    <w:rPr>
      <w:b/>
      <w:sz w:val="28"/>
    </w:rPr>
  </w:style>
  <w:style w:type="paragraph" w:styleId="2">
    <w:name w:val="heading 2"/>
    <w:basedOn w:val="a"/>
    <w:next w:val="a"/>
    <w:qFormat/>
    <w:rsid w:val="00C50AD7"/>
    <w:pPr>
      <w:keepNext/>
      <w:ind w:firstLine="709"/>
      <w:jc w:val="right"/>
      <w:outlineLvl w:val="1"/>
    </w:pPr>
    <w:rPr>
      <w:sz w:val="24"/>
    </w:rPr>
  </w:style>
  <w:style w:type="paragraph" w:styleId="3">
    <w:name w:val="heading 3"/>
    <w:basedOn w:val="a"/>
    <w:next w:val="a"/>
    <w:qFormat/>
    <w:rsid w:val="00C50AD7"/>
    <w:pPr>
      <w:keepNext/>
      <w:ind w:firstLine="709"/>
      <w:jc w:val="center"/>
      <w:outlineLvl w:val="2"/>
    </w:pPr>
    <w:rPr>
      <w:b/>
      <w:sz w:val="28"/>
    </w:rPr>
  </w:style>
  <w:style w:type="paragraph" w:styleId="5">
    <w:name w:val="heading 5"/>
    <w:basedOn w:val="a"/>
    <w:next w:val="a"/>
    <w:link w:val="50"/>
    <w:semiHidden/>
    <w:unhideWhenUsed/>
    <w:qFormat/>
    <w:rsid w:val="00EC0F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EC0F8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0AD7"/>
    <w:pPr>
      <w:tabs>
        <w:tab w:val="center" w:pos="4153"/>
        <w:tab w:val="right" w:pos="8306"/>
      </w:tabs>
    </w:pPr>
  </w:style>
  <w:style w:type="character" w:styleId="a5">
    <w:name w:val="page number"/>
    <w:basedOn w:val="a0"/>
    <w:rsid w:val="00C50AD7"/>
  </w:style>
  <w:style w:type="paragraph" w:styleId="a6">
    <w:name w:val="footer"/>
    <w:basedOn w:val="a"/>
    <w:rsid w:val="00C50AD7"/>
    <w:pPr>
      <w:tabs>
        <w:tab w:val="center" w:pos="4153"/>
        <w:tab w:val="right" w:pos="8306"/>
      </w:tabs>
    </w:pPr>
  </w:style>
  <w:style w:type="paragraph" w:styleId="a7">
    <w:name w:val="Body Text Indent"/>
    <w:basedOn w:val="a"/>
    <w:link w:val="a8"/>
    <w:rsid w:val="00C50AD7"/>
    <w:pPr>
      <w:spacing w:after="120"/>
      <w:ind w:left="283"/>
    </w:pPr>
  </w:style>
  <w:style w:type="paragraph" w:styleId="20">
    <w:name w:val="Body Text Indent 2"/>
    <w:basedOn w:val="a"/>
    <w:rsid w:val="00C50AD7"/>
    <w:pPr>
      <w:ind w:firstLine="720"/>
      <w:jc w:val="both"/>
    </w:pPr>
    <w:rPr>
      <w:sz w:val="30"/>
    </w:rPr>
  </w:style>
  <w:style w:type="paragraph" w:styleId="a9">
    <w:name w:val="caption"/>
    <w:basedOn w:val="a"/>
    <w:next w:val="a"/>
    <w:qFormat/>
    <w:rsid w:val="00C50AD7"/>
    <w:pPr>
      <w:spacing w:before="120" w:line="240" w:lineRule="exact"/>
    </w:pPr>
    <w:rPr>
      <w:sz w:val="30"/>
    </w:rPr>
  </w:style>
  <w:style w:type="paragraph" w:styleId="30">
    <w:name w:val="Body Text Indent 3"/>
    <w:basedOn w:val="a"/>
    <w:rsid w:val="00C50AD7"/>
    <w:pPr>
      <w:ind w:firstLine="709"/>
      <w:jc w:val="both"/>
    </w:pPr>
    <w:rPr>
      <w:sz w:val="29"/>
    </w:rPr>
  </w:style>
  <w:style w:type="paragraph" w:styleId="aa">
    <w:name w:val="Body Text"/>
    <w:basedOn w:val="a"/>
    <w:rsid w:val="00C50AD7"/>
    <w:pPr>
      <w:spacing w:before="120" w:line="220" w:lineRule="exact"/>
      <w:jc w:val="both"/>
    </w:pPr>
    <w:rPr>
      <w:sz w:val="22"/>
    </w:rPr>
  </w:style>
  <w:style w:type="paragraph" w:styleId="31">
    <w:name w:val="Body Text 3"/>
    <w:basedOn w:val="a"/>
    <w:rsid w:val="00C50AD7"/>
    <w:pPr>
      <w:spacing w:line="280" w:lineRule="exact"/>
    </w:pPr>
    <w:rPr>
      <w:sz w:val="30"/>
    </w:rPr>
  </w:style>
  <w:style w:type="paragraph" w:styleId="ab">
    <w:name w:val="Block Text"/>
    <w:basedOn w:val="a"/>
    <w:rsid w:val="00C50AD7"/>
    <w:pPr>
      <w:spacing w:line="220" w:lineRule="exact"/>
      <w:ind w:left="170" w:right="-57"/>
    </w:pPr>
    <w:rPr>
      <w:sz w:val="22"/>
    </w:rPr>
  </w:style>
  <w:style w:type="table" w:styleId="ac">
    <w:name w:val="Table Grid"/>
    <w:basedOn w:val="a1"/>
    <w:rsid w:val="00010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basedOn w:val="a0"/>
    <w:semiHidden/>
    <w:rsid w:val="0014340E"/>
    <w:rPr>
      <w:vertAlign w:val="superscript"/>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37FC1"/>
    <w:pPr>
      <w:spacing w:after="160" w:line="240" w:lineRule="exact"/>
    </w:pPr>
    <w:rPr>
      <w:sz w:val="28"/>
      <w:lang w:val="en-US" w:eastAsia="en-US"/>
    </w:rPr>
  </w:style>
  <w:style w:type="character" w:styleId="ae">
    <w:name w:val="Hyperlink"/>
    <w:basedOn w:val="a0"/>
    <w:rsid w:val="00CF215B"/>
    <w:rPr>
      <w:color w:val="0000FF"/>
      <w:u w:val="single"/>
    </w:rPr>
  </w:style>
  <w:style w:type="paragraph" w:styleId="af">
    <w:name w:val="Balloon Text"/>
    <w:basedOn w:val="a"/>
    <w:link w:val="af0"/>
    <w:rsid w:val="00FD781B"/>
    <w:rPr>
      <w:rFonts w:ascii="Tahoma" w:hAnsi="Tahoma" w:cs="Tahoma"/>
      <w:sz w:val="16"/>
      <w:szCs w:val="16"/>
    </w:rPr>
  </w:style>
  <w:style w:type="character" w:customStyle="1" w:styleId="af0">
    <w:name w:val="Текст выноски Знак"/>
    <w:basedOn w:val="a0"/>
    <w:link w:val="af"/>
    <w:rsid w:val="00FD781B"/>
    <w:rPr>
      <w:rFonts w:ascii="Tahoma" w:hAnsi="Tahoma" w:cs="Tahoma"/>
      <w:sz w:val="16"/>
      <w:szCs w:val="16"/>
    </w:rPr>
  </w:style>
  <w:style w:type="character" w:customStyle="1" w:styleId="a8">
    <w:name w:val="Основной текст с отступом Знак"/>
    <w:basedOn w:val="a0"/>
    <w:link w:val="a7"/>
    <w:rsid w:val="00EC0F8D"/>
  </w:style>
  <w:style w:type="character" w:customStyle="1" w:styleId="a4">
    <w:name w:val="Верхний колонтитул Знак"/>
    <w:link w:val="a3"/>
    <w:rsid w:val="00EC0F8D"/>
  </w:style>
  <w:style w:type="character" w:customStyle="1" w:styleId="50">
    <w:name w:val="Заголовок 5 Знак"/>
    <w:basedOn w:val="a0"/>
    <w:link w:val="5"/>
    <w:semiHidden/>
    <w:rsid w:val="00EC0F8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EC0F8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D7"/>
  </w:style>
  <w:style w:type="paragraph" w:styleId="1">
    <w:name w:val="heading 1"/>
    <w:basedOn w:val="a"/>
    <w:next w:val="a"/>
    <w:qFormat/>
    <w:rsid w:val="00C50AD7"/>
    <w:pPr>
      <w:keepNext/>
      <w:ind w:left="3539" w:firstLine="709"/>
      <w:jc w:val="both"/>
      <w:outlineLvl w:val="0"/>
    </w:pPr>
    <w:rPr>
      <w:b/>
      <w:sz w:val="28"/>
    </w:rPr>
  </w:style>
  <w:style w:type="paragraph" w:styleId="2">
    <w:name w:val="heading 2"/>
    <w:basedOn w:val="a"/>
    <w:next w:val="a"/>
    <w:qFormat/>
    <w:rsid w:val="00C50AD7"/>
    <w:pPr>
      <w:keepNext/>
      <w:ind w:firstLine="709"/>
      <w:jc w:val="right"/>
      <w:outlineLvl w:val="1"/>
    </w:pPr>
    <w:rPr>
      <w:sz w:val="24"/>
    </w:rPr>
  </w:style>
  <w:style w:type="paragraph" w:styleId="3">
    <w:name w:val="heading 3"/>
    <w:basedOn w:val="a"/>
    <w:next w:val="a"/>
    <w:qFormat/>
    <w:rsid w:val="00C50AD7"/>
    <w:pPr>
      <w:keepNext/>
      <w:ind w:firstLine="709"/>
      <w:jc w:val="center"/>
      <w:outlineLvl w:val="2"/>
    </w:pPr>
    <w:rPr>
      <w:b/>
      <w:sz w:val="28"/>
    </w:rPr>
  </w:style>
  <w:style w:type="paragraph" w:styleId="5">
    <w:name w:val="heading 5"/>
    <w:basedOn w:val="a"/>
    <w:next w:val="a"/>
    <w:link w:val="50"/>
    <w:semiHidden/>
    <w:unhideWhenUsed/>
    <w:qFormat/>
    <w:rsid w:val="00EC0F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EC0F8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0AD7"/>
    <w:pPr>
      <w:tabs>
        <w:tab w:val="center" w:pos="4153"/>
        <w:tab w:val="right" w:pos="8306"/>
      </w:tabs>
    </w:pPr>
  </w:style>
  <w:style w:type="character" w:styleId="a5">
    <w:name w:val="page number"/>
    <w:basedOn w:val="a0"/>
    <w:rsid w:val="00C50AD7"/>
  </w:style>
  <w:style w:type="paragraph" w:styleId="a6">
    <w:name w:val="footer"/>
    <w:basedOn w:val="a"/>
    <w:rsid w:val="00C50AD7"/>
    <w:pPr>
      <w:tabs>
        <w:tab w:val="center" w:pos="4153"/>
        <w:tab w:val="right" w:pos="8306"/>
      </w:tabs>
    </w:pPr>
  </w:style>
  <w:style w:type="paragraph" w:styleId="a7">
    <w:name w:val="Body Text Indent"/>
    <w:basedOn w:val="a"/>
    <w:link w:val="a8"/>
    <w:rsid w:val="00C50AD7"/>
    <w:pPr>
      <w:spacing w:after="120"/>
      <w:ind w:left="283"/>
    </w:pPr>
  </w:style>
  <w:style w:type="paragraph" w:styleId="20">
    <w:name w:val="Body Text Indent 2"/>
    <w:basedOn w:val="a"/>
    <w:rsid w:val="00C50AD7"/>
    <w:pPr>
      <w:ind w:firstLine="720"/>
      <w:jc w:val="both"/>
    </w:pPr>
    <w:rPr>
      <w:sz w:val="30"/>
    </w:rPr>
  </w:style>
  <w:style w:type="paragraph" w:styleId="a9">
    <w:name w:val="caption"/>
    <w:basedOn w:val="a"/>
    <w:next w:val="a"/>
    <w:qFormat/>
    <w:rsid w:val="00C50AD7"/>
    <w:pPr>
      <w:spacing w:before="120" w:line="240" w:lineRule="exact"/>
    </w:pPr>
    <w:rPr>
      <w:sz w:val="30"/>
    </w:rPr>
  </w:style>
  <w:style w:type="paragraph" w:styleId="30">
    <w:name w:val="Body Text Indent 3"/>
    <w:basedOn w:val="a"/>
    <w:rsid w:val="00C50AD7"/>
    <w:pPr>
      <w:ind w:firstLine="709"/>
      <w:jc w:val="both"/>
    </w:pPr>
    <w:rPr>
      <w:sz w:val="29"/>
    </w:rPr>
  </w:style>
  <w:style w:type="paragraph" w:styleId="aa">
    <w:name w:val="Body Text"/>
    <w:basedOn w:val="a"/>
    <w:rsid w:val="00C50AD7"/>
    <w:pPr>
      <w:spacing w:before="120" w:line="220" w:lineRule="exact"/>
      <w:jc w:val="both"/>
    </w:pPr>
    <w:rPr>
      <w:sz w:val="22"/>
    </w:rPr>
  </w:style>
  <w:style w:type="paragraph" w:styleId="31">
    <w:name w:val="Body Text 3"/>
    <w:basedOn w:val="a"/>
    <w:rsid w:val="00C50AD7"/>
    <w:pPr>
      <w:spacing w:line="280" w:lineRule="exact"/>
    </w:pPr>
    <w:rPr>
      <w:sz w:val="30"/>
    </w:rPr>
  </w:style>
  <w:style w:type="paragraph" w:styleId="ab">
    <w:name w:val="Block Text"/>
    <w:basedOn w:val="a"/>
    <w:rsid w:val="00C50AD7"/>
    <w:pPr>
      <w:spacing w:line="220" w:lineRule="exact"/>
      <w:ind w:left="170" w:right="-57"/>
    </w:pPr>
    <w:rPr>
      <w:sz w:val="22"/>
    </w:rPr>
  </w:style>
  <w:style w:type="table" w:styleId="ac">
    <w:name w:val="Table Grid"/>
    <w:basedOn w:val="a1"/>
    <w:rsid w:val="00010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basedOn w:val="a0"/>
    <w:semiHidden/>
    <w:rsid w:val="0014340E"/>
    <w:rPr>
      <w:vertAlign w:val="superscript"/>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37FC1"/>
    <w:pPr>
      <w:spacing w:after="160" w:line="240" w:lineRule="exact"/>
    </w:pPr>
    <w:rPr>
      <w:sz w:val="28"/>
      <w:lang w:val="en-US" w:eastAsia="en-US"/>
    </w:rPr>
  </w:style>
  <w:style w:type="character" w:styleId="ae">
    <w:name w:val="Hyperlink"/>
    <w:basedOn w:val="a0"/>
    <w:rsid w:val="00CF215B"/>
    <w:rPr>
      <w:color w:val="0000FF"/>
      <w:u w:val="single"/>
    </w:rPr>
  </w:style>
  <w:style w:type="paragraph" w:styleId="af">
    <w:name w:val="Balloon Text"/>
    <w:basedOn w:val="a"/>
    <w:link w:val="af0"/>
    <w:rsid w:val="00FD781B"/>
    <w:rPr>
      <w:rFonts w:ascii="Tahoma" w:hAnsi="Tahoma" w:cs="Tahoma"/>
      <w:sz w:val="16"/>
      <w:szCs w:val="16"/>
    </w:rPr>
  </w:style>
  <w:style w:type="character" w:customStyle="1" w:styleId="af0">
    <w:name w:val="Текст выноски Знак"/>
    <w:basedOn w:val="a0"/>
    <w:link w:val="af"/>
    <w:rsid w:val="00FD781B"/>
    <w:rPr>
      <w:rFonts w:ascii="Tahoma" w:hAnsi="Tahoma" w:cs="Tahoma"/>
      <w:sz w:val="16"/>
      <w:szCs w:val="16"/>
    </w:rPr>
  </w:style>
  <w:style w:type="character" w:customStyle="1" w:styleId="a8">
    <w:name w:val="Основной текст с отступом Знак"/>
    <w:basedOn w:val="a0"/>
    <w:link w:val="a7"/>
    <w:rsid w:val="00EC0F8D"/>
  </w:style>
  <w:style w:type="character" w:customStyle="1" w:styleId="a4">
    <w:name w:val="Верхний колонтитул Знак"/>
    <w:link w:val="a3"/>
    <w:rsid w:val="00EC0F8D"/>
  </w:style>
  <w:style w:type="character" w:customStyle="1" w:styleId="50">
    <w:name w:val="Заголовок 5 Знак"/>
    <w:basedOn w:val="a0"/>
    <w:link w:val="5"/>
    <w:semiHidden/>
    <w:rsid w:val="00EC0F8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EC0F8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9;&#1090;&#1072;&#1085;&#1076;&#1072;&#1088;&#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801C7-AE2E-493B-8763-4C77F7E9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Template>
  <TotalTime>763</TotalTime>
  <Pages>4</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09</vt:lpstr>
    </vt:vector>
  </TitlesOfParts>
  <Company>ÈÍÔÎÐÌÑÒÀÒ</Company>
  <LinksUpToDate>false</LinksUpToDate>
  <CharactersWithSpaces>8122</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Воронина Ольга Николаевна</dc:creator>
  <cp:lastModifiedBy>Сорока Татьяна Владимировна</cp:lastModifiedBy>
  <cp:revision>21</cp:revision>
  <cp:lastPrinted>2023-06-20T07:48:00Z</cp:lastPrinted>
  <dcterms:created xsi:type="dcterms:W3CDTF">2023-05-15T14:57:00Z</dcterms:created>
  <dcterms:modified xsi:type="dcterms:W3CDTF">2023-08-21T12:47:00Z</dcterms:modified>
</cp:coreProperties>
</file>