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5E" w:rsidRPr="00AC3B34" w:rsidRDefault="00756B5E" w:rsidP="0075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34">
        <w:rPr>
          <w:rFonts w:ascii="Times New Roman" w:hAnsi="Times New Roman" w:cs="Times New Roman"/>
          <w:b/>
          <w:sz w:val="28"/>
          <w:szCs w:val="28"/>
        </w:rPr>
        <w:t>Наиболее типичные ошибки п</w:t>
      </w:r>
      <w:bookmarkStart w:id="0" w:name="_GoBack"/>
      <w:bookmarkEnd w:id="0"/>
      <w:r w:rsidRPr="00AC3B34">
        <w:rPr>
          <w:rFonts w:ascii="Times New Roman" w:hAnsi="Times New Roman" w:cs="Times New Roman"/>
          <w:b/>
          <w:sz w:val="28"/>
          <w:szCs w:val="28"/>
        </w:rPr>
        <w:t>ри заполнении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C3B34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/>
          <w:sz w:val="28"/>
          <w:szCs w:val="28"/>
        </w:rPr>
        <w:t>енной статистической отчетности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№ </w:t>
      </w:r>
      <w:r w:rsidRPr="00756B5E">
        <w:rPr>
          <w:rFonts w:ascii="Times New Roman" w:hAnsi="Times New Roman" w:cs="Times New Roman"/>
          <w:b/>
          <w:sz w:val="28"/>
          <w:szCs w:val="28"/>
        </w:rPr>
        <w:t>4-тэк (топливо)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56B5E">
        <w:rPr>
          <w:rFonts w:ascii="Times New Roman" w:hAnsi="Times New Roman" w:cs="Times New Roman"/>
          <w:b/>
          <w:sz w:val="28"/>
          <w:szCs w:val="28"/>
        </w:rPr>
        <w:t>Отчет об остатках, поступлении</w:t>
      </w:r>
      <w:r w:rsidRPr="0075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5E">
        <w:rPr>
          <w:rFonts w:ascii="Times New Roman" w:hAnsi="Times New Roman" w:cs="Times New Roman"/>
          <w:b/>
          <w:sz w:val="28"/>
          <w:szCs w:val="28"/>
        </w:rPr>
        <w:t>и ра</w:t>
      </w:r>
      <w:r w:rsidRPr="00756B5E">
        <w:rPr>
          <w:rFonts w:ascii="Times New Roman" w:hAnsi="Times New Roman" w:cs="Times New Roman"/>
          <w:b/>
          <w:sz w:val="28"/>
          <w:szCs w:val="28"/>
        </w:rPr>
        <w:t>с</w:t>
      </w:r>
      <w:r w:rsidRPr="00756B5E">
        <w:rPr>
          <w:rFonts w:ascii="Times New Roman" w:hAnsi="Times New Roman" w:cs="Times New Roman"/>
          <w:b/>
          <w:sz w:val="28"/>
          <w:szCs w:val="28"/>
        </w:rPr>
        <w:t>ходе топлива</w:t>
      </w:r>
      <w:r w:rsidRPr="00F61E0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3190"/>
        <w:gridCol w:w="3722"/>
        <w:gridCol w:w="7903"/>
      </w:tblGrid>
      <w:tr w:rsidR="00756B5E" w:rsidRPr="00AC3B34" w:rsidTr="000D30CA">
        <w:trPr>
          <w:tblHeader/>
        </w:trPr>
        <w:tc>
          <w:tcPr>
            <w:tcW w:w="3190" w:type="dxa"/>
          </w:tcPr>
          <w:p w:rsidR="00756B5E" w:rsidRPr="00AC3B34" w:rsidRDefault="00756B5E" w:rsidP="000D30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4">
              <w:rPr>
                <w:rFonts w:ascii="Times New Roman" w:hAnsi="Times New Roman" w:cs="Times New Roman"/>
                <w:sz w:val="24"/>
                <w:szCs w:val="24"/>
              </w:rPr>
              <w:t>Наименование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статистической отчетности</w:t>
            </w:r>
          </w:p>
        </w:tc>
        <w:tc>
          <w:tcPr>
            <w:tcW w:w="3722" w:type="dxa"/>
          </w:tcPr>
          <w:p w:rsidR="00756B5E" w:rsidRPr="00AC3B34" w:rsidRDefault="00756B5E" w:rsidP="000D30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4">
              <w:rPr>
                <w:rFonts w:ascii="Times New Roman" w:hAnsi="Times New Roman" w:cs="Times New Roman"/>
                <w:sz w:val="24"/>
                <w:szCs w:val="24"/>
              </w:rPr>
              <w:t>Типичная ошибка</w:t>
            </w:r>
          </w:p>
        </w:tc>
        <w:tc>
          <w:tcPr>
            <w:tcW w:w="7903" w:type="dxa"/>
          </w:tcPr>
          <w:p w:rsidR="00756B5E" w:rsidRPr="00AC3B34" w:rsidRDefault="00756B5E" w:rsidP="000D30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4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756B5E" w:rsidRPr="00AC3B34" w:rsidTr="000D30CA">
        <w:tc>
          <w:tcPr>
            <w:tcW w:w="3190" w:type="dxa"/>
            <w:vMerge w:val="restart"/>
          </w:tcPr>
          <w:p w:rsidR="00756B5E" w:rsidRDefault="00756B5E" w:rsidP="000D30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4-тэк (топливо)</w:t>
            </w:r>
          </w:p>
        </w:tc>
        <w:tc>
          <w:tcPr>
            <w:tcW w:w="3722" w:type="dxa"/>
          </w:tcPr>
          <w:p w:rsidR="00756B5E" w:rsidRPr="00775459" w:rsidRDefault="00756B5E" w:rsidP="000D30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полноты первичных статистических данных, отраженных в форме государственной статистической отчетности.</w:t>
            </w:r>
          </w:p>
        </w:tc>
        <w:tc>
          <w:tcPr>
            <w:tcW w:w="7903" w:type="dxa"/>
          </w:tcPr>
          <w:p w:rsidR="00756B5E" w:rsidRPr="00775459" w:rsidRDefault="00756B5E" w:rsidP="000D30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Типичная ошибка, связанная с отсутствием в организациях схем документооборота между подразделениями, ответственными за сбор первичных статистических данных по форме: служб энергетики, транспорта, снабжения, бухгалтерии и других. </w:t>
            </w:r>
          </w:p>
        </w:tc>
      </w:tr>
      <w:tr w:rsidR="00756B5E" w:rsidRPr="00AC3B34" w:rsidTr="000D30CA">
        <w:tc>
          <w:tcPr>
            <w:tcW w:w="3190" w:type="dxa"/>
            <w:vMerge/>
          </w:tcPr>
          <w:p w:rsidR="00756B5E" w:rsidRDefault="00756B5E" w:rsidP="000D30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56B5E" w:rsidRDefault="00756B5E" w:rsidP="000D30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>пересчета первичных статистических данных о поступлении и расходе топлива к требуемым единицам измерения</w:t>
            </w:r>
          </w:p>
        </w:tc>
        <w:tc>
          <w:tcPr>
            <w:tcW w:w="7903" w:type="dxa"/>
          </w:tcPr>
          <w:p w:rsidR="00756B5E" w:rsidRDefault="00756B5E" w:rsidP="000D30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ересчет первичных статистических данных о поступлении и расходе топлива к требуемым единицам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порядком, приведенным в Указаниях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75459">
              <w:rPr>
                <w:rFonts w:ascii="Times New Roman" w:hAnsi="Times New Roman" w:cs="Times New Roman"/>
                <w:sz w:val="24"/>
                <w:szCs w:val="24"/>
              </w:rPr>
              <w:t>заполнению в формах государственной статистической отчетности по статистике топливно-энергетического комплекса показателя о расходе топлива в условных единицах измерения, 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Национального статистического комитета Республики Беларусь от 29 июля 2009 г. №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количество ошибок зафиксировано при 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>пересчет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 бензина автомобильного, керосина и топлива дизельного – из объемных единиц измерения в весовые, дров – из складочных в плотные метры кубические; торфа и топливных брикетов – из тонн натуральной влажности в условную, кокса, </w:t>
            </w:r>
            <w:proofErr w:type="spellStart"/>
            <w:r w:rsidRPr="006E54AE">
              <w:rPr>
                <w:rFonts w:ascii="Times New Roman" w:hAnsi="Times New Roman" w:cs="Times New Roman"/>
                <w:sz w:val="24"/>
                <w:szCs w:val="24"/>
              </w:rPr>
              <w:t>коксика</w:t>
            </w:r>
            <w:proofErr w:type="spellEnd"/>
            <w:r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 и коксовой мелочи – на сухой вес.</w:t>
            </w:r>
            <w:proofErr w:type="gramEnd"/>
          </w:p>
        </w:tc>
      </w:tr>
      <w:tr w:rsidR="00756B5E" w:rsidRPr="00AC3B34" w:rsidTr="000D30CA">
        <w:tc>
          <w:tcPr>
            <w:tcW w:w="3190" w:type="dxa"/>
            <w:vMerge/>
          </w:tcPr>
          <w:p w:rsidR="00756B5E" w:rsidRPr="00AC3B34" w:rsidRDefault="00756B5E" w:rsidP="000D30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56B5E" w:rsidRPr="00AC3B34" w:rsidRDefault="00756B5E" w:rsidP="000D30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первичные статистические данные об остатках топлива включаются данные о товарных остатках.</w:t>
            </w:r>
          </w:p>
        </w:tc>
        <w:tc>
          <w:tcPr>
            <w:tcW w:w="7903" w:type="dxa"/>
          </w:tcPr>
          <w:p w:rsidR="00756B5E" w:rsidRPr="00AC3B34" w:rsidRDefault="00756B5E" w:rsidP="000D30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29 Указаний по заполнению формы организации-потребители топлива, являющиеся одновременно его производителями, а также организации, занятые в торговой деятельности, в </w:t>
            </w:r>
            <w:hyperlink r:id="rId5" w:history="1">
              <w:r w:rsidRPr="00340AD2">
                <w:rPr>
                  <w:rFonts w:ascii="Times New Roman" w:hAnsi="Times New Roman" w:cs="Times New Roman"/>
                  <w:sz w:val="24"/>
                  <w:szCs w:val="24"/>
                </w:rPr>
                <w:t>графах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340AD2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отражают данные об остатках топлива, предназначенного только для собственных нужд организации и реализации населению. В </w:t>
            </w:r>
            <w:hyperlink r:id="rId7" w:history="1">
              <w:r w:rsidRPr="00340AD2">
                <w:rPr>
                  <w:rFonts w:ascii="Times New Roman" w:hAnsi="Times New Roman" w:cs="Times New Roman"/>
                  <w:sz w:val="24"/>
                  <w:szCs w:val="24"/>
                </w:rPr>
                <w:t>графах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340AD2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отражаются данные о товарных остатках топлива, подлежащего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поставке организациям-потребителям.</w:t>
            </w:r>
          </w:p>
        </w:tc>
      </w:tr>
      <w:tr w:rsidR="00756B5E" w:rsidRPr="00AC3B34" w:rsidTr="000D30CA">
        <w:tc>
          <w:tcPr>
            <w:tcW w:w="3190" w:type="dxa"/>
            <w:vMerge/>
          </w:tcPr>
          <w:p w:rsidR="00756B5E" w:rsidRPr="00AC3B34" w:rsidRDefault="00756B5E" w:rsidP="000D30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56B5E" w:rsidRPr="00AC3B34" w:rsidRDefault="00756B5E" w:rsidP="000D30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первичные статистические </w:t>
            </w:r>
            <w:r w:rsidRPr="002B6C50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B6C50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r w:rsidRPr="002B6C50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транспортных средств расходов топлива на работу погрузочно-разгрузочной, сельскохозяйственной, коммунальной и иной техники.</w:t>
            </w:r>
          </w:p>
        </w:tc>
        <w:tc>
          <w:tcPr>
            <w:tcW w:w="7903" w:type="dxa"/>
          </w:tcPr>
          <w:p w:rsidR="00756B5E" w:rsidRPr="00AC3B34" w:rsidRDefault="00756B5E" w:rsidP="000D30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21-1 Указаний по заполнению формы в данные о расходе топлива на работу автомобильных транспортных средств, отражаемые по </w:t>
            </w:r>
            <w:hyperlink r:id="rId9" w:history="1">
              <w:r w:rsidRPr="002B6C50">
                <w:rPr>
                  <w:rFonts w:ascii="Times New Roman" w:hAnsi="Times New Roman" w:cs="Times New Roman"/>
                  <w:sz w:val="24"/>
                  <w:szCs w:val="24"/>
                </w:rPr>
                <w:t>строкам 1012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2B6C50">
                <w:rPr>
                  <w:rFonts w:ascii="Times New Roman" w:hAnsi="Times New Roman" w:cs="Times New Roman"/>
                  <w:sz w:val="24"/>
                  <w:szCs w:val="24"/>
                </w:rPr>
                <w:t>1032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2B6C50">
                <w:rPr>
                  <w:rFonts w:ascii="Times New Roman" w:hAnsi="Times New Roman" w:cs="Times New Roman"/>
                  <w:sz w:val="24"/>
                  <w:szCs w:val="24"/>
                </w:rPr>
                <w:t>1082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2B6C50">
                <w:rPr>
                  <w:rFonts w:ascii="Times New Roman" w:hAnsi="Times New Roman" w:cs="Times New Roman"/>
                  <w:sz w:val="24"/>
                  <w:szCs w:val="24"/>
                </w:rPr>
                <w:t>1092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2B6C50">
                <w:rPr>
                  <w:rFonts w:ascii="Times New Roman" w:hAnsi="Times New Roman" w:cs="Times New Roman"/>
                  <w:sz w:val="24"/>
                  <w:szCs w:val="24"/>
                </w:rPr>
                <w:t>1152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формы, не включаются расходы топлива на работу погрузочно-разгрузочной, сельскохозяйственной, лесохозяйственной, дорожно-строительной, коммунальной, пожарной и иной техники, не предназначенной для движения по дорогам и перевозки пассажиров или грузов.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 составляют случаи, когда указанная техника используется в качестве автомобильного транспортного средства для перевозки пассажиров или грузов и перевозка оформлена транспортным документом.</w:t>
            </w:r>
          </w:p>
        </w:tc>
      </w:tr>
    </w:tbl>
    <w:p w:rsidR="008D29EE" w:rsidRDefault="008D29EE"/>
    <w:sectPr w:rsidR="008D29EE" w:rsidSect="00756B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E"/>
    <w:rsid w:val="00756B5E"/>
    <w:rsid w:val="008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78EE729E14FAAD681AEA51C4999E3E891CD18F2944F5290FA97F60F1A4314B2BE53B318032F0AE00E9BE77BV3fDL" TargetMode="External"/><Relationship Id="rId13" Type="http://schemas.openxmlformats.org/officeDocument/2006/relationships/hyperlink" Target="consultantplus://offline/ref=98B0FA93C4E9C97DE046EA4836AB8B48F0A6D20643104DC83150B2157EF98C23047BA344764AA537FF7A4BD83C1D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578EE729E14FAAD681AEA51C4999E3E891CD18F2944F5290FA97F60F1A4314B2BE53B318032F0AE00E9BE77CV3f1L" TargetMode="External"/><Relationship Id="rId12" Type="http://schemas.openxmlformats.org/officeDocument/2006/relationships/hyperlink" Target="consultantplus://offline/ref=98B0FA93C4E9C97DE046EA4836AB8B48F0A6D20643104DC83150B2157EF98C23047BA344764AA537FF7A4BD83E1DP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78EE729E14FAAD681AEA51C4999E3E891CD18F2944F5290FA97F60F1A4314B2BE53B318032F0AE00E9BE77BV3fDL" TargetMode="External"/><Relationship Id="rId11" Type="http://schemas.openxmlformats.org/officeDocument/2006/relationships/hyperlink" Target="consultantplus://offline/ref=98B0FA93C4E9C97DE046EA4836AB8B48F0A6D20643104DC83150B2157EF98C23047BA344764AA537FF7A4BD8381DP5N" TargetMode="External"/><Relationship Id="rId5" Type="http://schemas.openxmlformats.org/officeDocument/2006/relationships/hyperlink" Target="consultantplus://offline/ref=14578EE729E14FAAD681AEA51C4999E3E891CD18F2944F5290FA97F60F1A4314B2BE53B318032F0AE00E9BE77CV3f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B0FA93C4E9C97DE046EA4836AB8B48F0A6D20643104DC83150B2157EF98C23047BA344764AA537FF7A4BD9331DP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0FA93C4E9C97DE046EA4836AB8B48F0A6D20643104DC83150B2157EF98C23047BA344764AA537FF7A4BD93D1DP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2017-06-16T13:33:00Z</dcterms:created>
  <dcterms:modified xsi:type="dcterms:W3CDTF">2017-06-16T13:36:00Z</dcterms:modified>
</cp:coreProperties>
</file>